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A641" w14:textId="77777777" w:rsidR="00F01689" w:rsidRDefault="002D6528">
      <w:pPr>
        <w:rPr>
          <w:rtl/>
          <w:lang w:bidi="ar-MA"/>
        </w:rPr>
      </w:pPr>
    </w:p>
    <w:p w14:paraId="2D85EBAC" w14:textId="77777777" w:rsidR="00B60BB4" w:rsidRDefault="00B60BB4" w:rsidP="00B60BB4">
      <w:pPr>
        <w:rPr>
          <w:rtl/>
          <w:lang w:bidi="ar-MA"/>
        </w:rPr>
      </w:pPr>
    </w:p>
    <w:tbl>
      <w:tblPr>
        <w:tblStyle w:val="Grilledutableau"/>
        <w:tblpPr w:leftFromText="141" w:rightFromText="141" w:vertAnchor="text" w:horzAnchor="page" w:tblpX="845" w:tblpY="-289"/>
        <w:tblW w:w="10666" w:type="dxa"/>
        <w:tblLook w:val="04A0" w:firstRow="1" w:lastRow="0" w:firstColumn="1" w:lastColumn="0" w:noHBand="0" w:noVBand="1"/>
      </w:tblPr>
      <w:tblGrid>
        <w:gridCol w:w="5637"/>
        <w:gridCol w:w="5029"/>
      </w:tblGrid>
      <w:tr w:rsidR="00B60BB4" w14:paraId="756757B1" w14:textId="77777777" w:rsidTr="003F560A">
        <w:tc>
          <w:tcPr>
            <w:tcW w:w="5637" w:type="dxa"/>
            <w:shd w:val="clear" w:color="auto" w:fill="548DD4" w:themeFill="text2" w:themeFillTint="99"/>
            <w:vAlign w:val="center"/>
          </w:tcPr>
          <w:p w14:paraId="05AEFA15" w14:textId="6A595E2B" w:rsidR="00B60BB4" w:rsidRPr="0025121E" w:rsidRDefault="000962E6" w:rsidP="003F560A">
            <w:pPr>
              <w:jc w:val="center"/>
              <w:rPr>
                <w:b/>
                <w:bCs/>
                <w:color w:val="FFFFFF" w:themeColor="background1"/>
                <w:sz w:val="28"/>
                <w:szCs w:val="28"/>
              </w:rPr>
            </w:pPr>
            <w:r>
              <w:rPr>
                <w:b/>
                <w:bCs/>
                <w:color w:val="FFFFFF" w:themeColor="background1"/>
                <w:sz w:val="28"/>
                <w:szCs w:val="28"/>
              </w:rPr>
              <w:t>TAKAFUL</w:t>
            </w:r>
            <w:r w:rsidR="009B2B5D">
              <w:rPr>
                <w:b/>
                <w:bCs/>
                <w:color w:val="FFFFFF" w:themeColor="background1"/>
                <w:sz w:val="28"/>
                <w:szCs w:val="28"/>
              </w:rPr>
              <w:t>IA ASSURANCES</w:t>
            </w:r>
          </w:p>
        </w:tc>
        <w:tc>
          <w:tcPr>
            <w:tcW w:w="5029" w:type="dxa"/>
            <w:shd w:val="clear" w:color="auto" w:fill="548DD4" w:themeFill="text2" w:themeFillTint="99"/>
            <w:vAlign w:val="center"/>
          </w:tcPr>
          <w:p w14:paraId="24BCADE1" w14:textId="779EC5E3" w:rsidR="00B60BB4" w:rsidRPr="001745DD" w:rsidRDefault="003F7D20" w:rsidP="003F560A">
            <w:pPr>
              <w:jc w:val="center"/>
              <w:rPr>
                <w:color w:val="FFFFFF" w:themeColor="background1"/>
                <w:sz w:val="28"/>
                <w:szCs w:val="28"/>
                <w:rtl/>
                <w:lang w:val="fr-MA" w:bidi="ar-MA"/>
              </w:rPr>
            </w:pPr>
            <w:r>
              <w:rPr>
                <w:rFonts w:hint="cs"/>
                <w:color w:val="FFFFFF" w:themeColor="background1"/>
                <w:sz w:val="28"/>
                <w:szCs w:val="28"/>
                <w:rtl/>
                <w:lang w:val="fr-MA" w:bidi="ar-MA"/>
              </w:rPr>
              <w:t>التكافلية للتأمين</w:t>
            </w:r>
          </w:p>
        </w:tc>
      </w:tr>
      <w:tr w:rsidR="00B60BB4" w14:paraId="685CB051" w14:textId="77777777" w:rsidTr="003F560A">
        <w:tc>
          <w:tcPr>
            <w:tcW w:w="5637" w:type="dxa"/>
          </w:tcPr>
          <w:p w14:paraId="189C2208" w14:textId="1F6B7C40" w:rsidR="00B60BB4" w:rsidRPr="002B596E" w:rsidRDefault="00B60BB4" w:rsidP="003F560A">
            <w:pPr>
              <w:rPr>
                <w:rFonts w:cstheme="minorHAnsi"/>
                <w:color w:val="000000"/>
              </w:rPr>
            </w:pPr>
            <w:r w:rsidRPr="002B596E">
              <w:rPr>
                <w:rFonts w:cstheme="minorHAnsi"/>
                <w:b/>
                <w:bCs/>
                <w:color w:val="548DD4" w:themeColor="text2" w:themeTint="99"/>
              </w:rPr>
              <w:t>Adresse :</w:t>
            </w:r>
            <w:r w:rsidRPr="002B596E">
              <w:rPr>
                <w:rFonts w:cstheme="minorHAnsi"/>
                <w:color w:val="548DD4" w:themeColor="text2" w:themeTint="99"/>
              </w:rPr>
              <w:t xml:space="preserve"> </w:t>
            </w:r>
            <w:r w:rsidR="003F7D20">
              <w:rPr>
                <w:rFonts w:cstheme="minorHAnsi"/>
              </w:rPr>
              <w:t xml:space="preserve">14, rue Halima </w:t>
            </w:r>
            <w:proofErr w:type="spellStart"/>
            <w:r w:rsidR="003F7D20">
              <w:rPr>
                <w:rFonts w:cstheme="minorHAnsi"/>
              </w:rPr>
              <w:t>saadia</w:t>
            </w:r>
            <w:proofErr w:type="spellEnd"/>
            <w:r w:rsidR="003F7D20">
              <w:rPr>
                <w:rFonts w:cstheme="minorHAnsi"/>
              </w:rPr>
              <w:t>, Immeuble Tour Balzac, quartier Racine</w:t>
            </w:r>
            <w:r w:rsidR="00C03CB5">
              <w:rPr>
                <w:rFonts w:cstheme="minorHAnsi"/>
              </w:rPr>
              <w:t>, Casablanca</w:t>
            </w:r>
          </w:p>
          <w:p w14:paraId="38D242C8" w14:textId="77777777" w:rsidR="00B60BB4" w:rsidRPr="002B596E" w:rsidRDefault="00B60BB4" w:rsidP="003F560A">
            <w:pPr>
              <w:rPr>
                <w:rFonts w:cstheme="minorHAnsi"/>
              </w:rPr>
            </w:pPr>
          </w:p>
        </w:tc>
        <w:tc>
          <w:tcPr>
            <w:tcW w:w="5029" w:type="dxa"/>
            <w:vAlign w:val="center"/>
          </w:tcPr>
          <w:p w14:paraId="2C275891" w14:textId="65AF4774" w:rsidR="009B2B5D" w:rsidRPr="00DB2633" w:rsidRDefault="009B2B5D" w:rsidP="00D77D3C">
            <w:pPr>
              <w:bidi/>
              <w:rPr>
                <w:rFonts w:cs="Arabic Transparent"/>
                <w:sz w:val="24"/>
                <w:szCs w:val="24"/>
                <w:lang w:bidi="ar-MA"/>
              </w:rPr>
            </w:pPr>
            <w:r w:rsidRPr="00DB2633">
              <w:rPr>
                <w:rFonts w:cs="Arabic Transparent" w:hint="cs"/>
                <w:b/>
                <w:bCs/>
                <w:color w:val="4F81BD" w:themeColor="accent1"/>
                <w:sz w:val="24"/>
                <w:szCs w:val="24"/>
                <w:rtl/>
                <w:lang w:bidi="ar-MA"/>
              </w:rPr>
              <w:t>عنوان:</w:t>
            </w:r>
            <w:r w:rsidRPr="00DB2633">
              <w:rPr>
                <w:rFonts w:cs="Arabic Transparent" w:hint="cs"/>
                <w:sz w:val="24"/>
                <w:szCs w:val="24"/>
                <w:rtl/>
                <w:lang w:bidi="ar-MA"/>
              </w:rPr>
              <w:t xml:space="preserve"> </w:t>
            </w:r>
            <w:r w:rsidR="00D77D3C">
              <w:rPr>
                <w:rFonts w:cs="Arabic Transparent" w:hint="cs"/>
                <w:sz w:val="24"/>
                <w:szCs w:val="24"/>
                <w:rtl/>
                <w:lang w:bidi="ar-MA"/>
              </w:rPr>
              <w:t>14،</w:t>
            </w:r>
            <w:r w:rsidR="003F7D20">
              <w:rPr>
                <w:rFonts w:cs="Arabic Transparent" w:hint="cs"/>
                <w:sz w:val="24"/>
                <w:szCs w:val="24"/>
                <w:rtl/>
                <w:lang w:bidi="ar-MA"/>
              </w:rPr>
              <w:t xml:space="preserve"> </w:t>
            </w:r>
            <w:r w:rsidR="00005965" w:rsidRPr="00856429">
              <w:rPr>
                <w:rFonts w:asciiTheme="majorBidi" w:hAnsiTheme="majorBidi" w:cstheme="majorBidi"/>
                <w:rtl/>
              </w:rPr>
              <w:t>ز</w:t>
            </w:r>
            <w:proofErr w:type="spellStart"/>
            <w:r w:rsidR="00D77D3C">
              <w:rPr>
                <w:rFonts w:cs="Arabic Transparent" w:hint="cs"/>
                <w:sz w:val="24"/>
                <w:szCs w:val="24"/>
                <w:rtl/>
                <w:lang w:bidi="ar-MA"/>
              </w:rPr>
              <w:t>نقة</w:t>
            </w:r>
            <w:proofErr w:type="spellEnd"/>
            <w:r w:rsidR="00D77D3C">
              <w:rPr>
                <w:rFonts w:cs="Arabic Transparent" w:hint="cs"/>
                <w:sz w:val="24"/>
                <w:szCs w:val="24"/>
                <w:rtl/>
                <w:lang w:bidi="ar-MA"/>
              </w:rPr>
              <w:t xml:space="preserve"> حليمة</w:t>
            </w:r>
            <w:r w:rsidR="003F7D20">
              <w:rPr>
                <w:rFonts w:cs="Arabic Transparent" w:hint="cs"/>
                <w:sz w:val="24"/>
                <w:szCs w:val="24"/>
                <w:rtl/>
                <w:lang w:bidi="ar-MA"/>
              </w:rPr>
              <w:t xml:space="preserve"> </w:t>
            </w:r>
            <w:proofErr w:type="gramStart"/>
            <w:r w:rsidR="003F7D20">
              <w:rPr>
                <w:rFonts w:cs="Arabic Transparent" w:hint="cs"/>
                <w:sz w:val="24"/>
                <w:szCs w:val="24"/>
                <w:rtl/>
                <w:lang w:bidi="ar-MA"/>
              </w:rPr>
              <w:t>السعدية ،</w:t>
            </w:r>
            <w:proofErr w:type="gramEnd"/>
            <w:r w:rsidR="003F7D20">
              <w:rPr>
                <w:rFonts w:cs="Arabic Transparent" w:hint="cs"/>
                <w:sz w:val="24"/>
                <w:szCs w:val="24"/>
                <w:rtl/>
                <w:lang w:bidi="ar-MA"/>
              </w:rPr>
              <w:t xml:space="preserve"> عمارة تور بلزاك، حي راسين، الدار البيضاء </w:t>
            </w:r>
            <w:r w:rsidRPr="00DB2633">
              <w:rPr>
                <w:rFonts w:cs="Arabic Transparent"/>
                <w:sz w:val="24"/>
                <w:szCs w:val="24"/>
                <w:lang w:bidi="ar-MA"/>
              </w:rPr>
              <w:t xml:space="preserve"> </w:t>
            </w:r>
          </w:p>
          <w:p w14:paraId="7558BD22" w14:textId="07B1F6B2" w:rsidR="00B60BB4" w:rsidRPr="002B596E" w:rsidRDefault="009B2B5D" w:rsidP="00D77D3C">
            <w:pPr>
              <w:bidi/>
              <w:rPr>
                <w:rFonts w:cstheme="minorHAnsi"/>
                <w:color w:val="000000"/>
              </w:rPr>
            </w:pPr>
            <w:r w:rsidRPr="00DB2633">
              <w:rPr>
                <w:rFonts w:cs="Arabic Transparent"/>
                <w:sz w:val="24"/>
                <w:szCs w:val="24"/>
                <w:rtl/>
                <w:lang w:bidi="ar-MA"/>
              </w:rPr>
              <w:t xml:space="preserve"> </w:t>
            </w:r>
          </w:p>
        </w:tc>
      </w:tr>
      <w:tr w:rsidR="00B60BB4" w14:paraId="7D7946F5" w14:textId="77777777" w:rsidTr="003F560A">
        <w:tc>
          <w:tcPr>
            <w:tcW w:w="5637" w:type="dxa"/>
          </w:tcPr>
          <w:p w14:paraId="46E51414" w14:textId="58D39F66" w:rsidR="00B60BB4" w:rsidRPr="002B596E" w:rsidRDefault="00B60BB4" w:rsidP="003F560A">
            <w:pPr>
              <w:rPr>
                <w:rFonts w:cstheme="minorHAnsi"/>
                <w:color w:val="000000"/>
              </w:rPr>
            </w:pPr>
            <w:r w:rsidRPr="002B596E">
              <w:rPr>
                <w:rFonts w:cstheme="minorHAnsi"/>
                <w:b/>
                <w:bCs/>
                <w:color w:val="548DD4" w:themeColor="text2" w:themeTint="99"/>
              </w:rPr>
              <w:t>Décisions ou arrêtés d'agréments :</w:t>
            </w:r>
            <w:r w:rsidRPr="002B596E">
              <w:rPr>
                <w:rFonts w:cstheme="minorHAnsi"/>
                <w:color w:val="548DD4" w:themeColor="text2" w:themeTint="99"/>
              </w:rPr>
              <w:t xml:space="preserve"> </w:t>
            </w:r>
            <w:r w:rsidR="007A199C" w:rsidRPr="002B596E">
              <w:rPr>
                <w:rFonts w:cstheme="minorHAnsi"/>
              </w:rPr>
              <w:t xml:space="preserve"> </w:t>
            </w:r>
            <w:r w:rsidR="007A199C" w:rsidRPr="002B596E">
              <w:rPr>
                <w:rFonts w:cstheme="minorHAnsi"/>
                <w:color w:val="000000"/>
              </w:rPr>
              <w:t>P/EA/</w:t>
            </w:r>
            <w:r w:rsidR="00B215AF">
              <w:rPr>
                <w:rFonts w:cstheme="minorHAnsi"/>
                <w:color w:val="000000"/>
              </w:rPr>
              <w:t>9</w:t>
            </w:r>
            <w:r w:rsidR="003F7D20">
              <w:rPr>
                <w:rFonts w:cstheme="minorHAnsi"/>
                <w:color w:val="000000"/>
              </w:rPr>
              <w:t>.</w:t>
            </w:r>
            <w:r w:rsidR="001745DD">
              <w:rPr>
                <w:rFonts w:cstheme="minorHAnsi"/>
                <w:color w:val="000000"/>
              </w:rPr>
              <w:t>21</w:t>
            </w:r>
            <w:r w:rsidR="007A199C" w:rsidRPr="002B596E">
              <w:rPr>
                <w:rFonts w:cstheme="minorHAnsi"/>
                <w:color w:val="000000"/>
                <w:rtl/>
              </w:rPr>
              <w:t xml:space="preserve"> </w:t>
            </w:r>
            <w:r w:rsidRPr="002B596E">
              <w:rPr>
                <w:rFonts w:cstheme="minorHAnsi"/>
                <w:color w:val="000000"/>
              </w:rPr>
              <w:t xml:space="preserve">du </w:t>
            </w:r>
            <w:r w:rsidR="001745DD">
              <w:rPr>
                <w:rFonts w:cstheme="minorHAnsi"/>
                <w:color w:val="000000"/>
              </w:rPr>
              <w:t xml:space="preserve">28 </w:t>
            </w:r>
            <w:r w:rsidR="00D03AD9" w:rsidRPr="002B596E">
              <w:rPr>
                <w:rFonts w:cstheme="minorHAnsi"/>
                <w:color w:val="000000"/>
              </w:rPr>
              <w:t>décembre 2021</w:t>
            </w:r>
          </w:p>
          <w:p w14:paraId="5D401862" w14:textId="77777777" w:rsidR="00B60BB4" w:rsidRPr="002B596E" w:rsidRDefault="00B60BB4" w:rsidP="003F560A">
            <w:pPr>
              <w:rPr>
                <w:rFonts w:cstheme="minorHAnsi"/>
              </w:rPr>
            </w:pPr>
          </w:p>
        </w:tc>
        <w:tc>
          <w:tcPr>
            <w:tcW w:w="5029" w:type="dxa"/>
            <w:vAlign w:val="center"/>
          </w:tcPr>
          <w:p w14:paraId="7EF44EA0" w14:textId="40374EBF" w:rsidR="00B60BB4" w:rsidRPr="002B596E" w:rsidRDefault="00B60BB4" w:rsidP="003F560A">
            <w:pPr>
              <w:bidi/>
              <w:rPr>
                <w:rFonts w:cstheme="minorHAnsi"/>
                <w:color w:val="000000"/>
                <w:lang w:val="fr-MA"/>
              </w:rPr>
            </w:pPr>
            <w:r w:rsidRPr="002B596E">
              <w:rPr>
                <w:rFonts w:cstheme="minorHAnsi"/>
                <w:b/>
                <w:bCs/>
                <w:color w:val="4F81BD" w:themeColor="accent1"/>
                <w:rtl/>
              </w:rPr>
              <w:t xml:space="preserve">قرار رقم: </w:t>
            </w:r>
            <w:r w:rsidR="007A199C" w:rsidRPr="002B596E">
              <w:rPr>
                <w:rFonts w:cstheme="minorHAnsi"/>
              </w:rPr>
              <w:t>P/EA/</w:t>
            </w:r>
            <w:r w:rsidR="00B215AF">
              <w:rPr>
                <w:rFonts w:cstheme="minorHAnsi"/>
              </w:rPr>
              <w:t>9</w:t>
            </w:r>
            <w:r w:rsidR="001745DD">
              <w:rPr>
                <w:rFonts w:cstheme="minorHAnsi"/>
              </w:rPr>
              <w:t>.21</w:t>
            </w:r>
            <w:r w:rsidRPr="002B596E">
              <w:rPr>
                <w:rFonts w:cstheme="minorHAnsi"/>
                <w:rtl/>
              </w:rPr>
              <w:t xml:space="preserve"> </w:t>
            </w:r>
            <w:r w:rsidRPr="002B596E">
              <w:rPr>
                <w:rFonts w:eastAsia="Times New Roman" w:cstheme="minorHAnsi"/>
                <w:rtl/>
                <w:lang w:eastAsia="fr-FR" w:bidi="ar-MA"/>
              </w:rPr>
              <w:t xml:space="preserve">بتاريخ </w:t>
            </w:r>
            <w:r w:rsidR="001745DD">
              <w:rPr>
                <w:rFonts w:eastAsia="Times New Roman" w:cstheme="minorHAnsi"/>
                <w:lang w:eastAsia="fr-FR" w:bidi="ar-MA"/>
              </w:rPr>
              <w:t>28</w:t>
            </w:r>
            <w:r w:rsidR="00D03AD9" w:rsidRPr="002B596E">
              <w:rPr>
                <w:rFonts w:eastAsia="Times New Roman" w:cstheme="minorHAnsi"/>
                <w:rtl/>
                <w:lang w:eastAsia="fr-FR" w:bidi="ar-MA"/>
              </w:rPr>
              <w:t xml:space="preserve"> ديسمبر 2021</w:t>
            </w:r>
          </w:p>
        </w:tc>
      </w:tr>
      <w:tr w:rsidR="00B60BB4" w14:paraId="4160567B" w14:textId="77777777" w:rsidTr="003F560A">
        <w:tc>
          <w:tcPr>
            <w:tcW w:w="5637" w:type="dxa"/>
          </w:tcPr>
          <w:p w14:paraId="30A42881" w14:textId="1534405F" w:rsidR="00B60BB4" w:rsidRPr="002B596E" w:rsidRDefault="00B60BB4" w:rsidP="003F560A">
            <w:pPr>
              <w:rPr>
                <w:rFonts w:cstheme="minorHAnsi"/>
                <w:color w:val="000000"/>
              </w:rPr>
            </w:pPr>
            <w:r w:rsidRPr="002B596E">
              <w:rPr>
                <w:rFonts w:cstheme="minorHAnsi"/>
                <w:b/>
                <w:bCs/>
                <w:color w:val="548DD4" w:themeColor="text2" w:themeTint="99"/>
              </w:rPr>
              <w:t>B.O. (en Français) :</w:t>
            </w:r>
            <w:r w:rsidRPr="002B596E">
              <w:rPr>
                <w:rFonts w:cstheme="minorHAnsi"/>
                <w:color w:val="548DD4" w:themeColor="text2" w:themeTint="99"/>
              </w:rPr>
              <w:t xml:space="preserve"> </w:t>
            </w:r>
          </w:p>
          <w:p w14:paraId="24B2AE50" w14:textId="77777777" w:rsidR="00B60BB4" w:rsidRPr="002B596E" w:rsidRDefault="00B60BB4" w:rsidP="003F560A">
            <w:pPr>
              <w:rPr>
                <w:rFonts w:cstheme="minorHAnsi"/>
              </w:rPr>
            </w:pPr>
          </w:p>
        </w:tc>
        <w:tc>
          <w:tcPr>
            <w:tcW w:w="5029" w:type="dxa"/>
            <w:vAlign w:val="center"/>
          </w:tcPr>
          <w:p w14:paraId="75D5F78B" w14:textId="77777777" w:rsidR="00B60BB4" w:rsidRPr="002B596E" w:rsidRDefault="00B60BB4" w:rsidP="003F560A">
            <w:pPr>
              <w:jc w:val="right"/>
              <w:rPr>
                <w:rFonts w:cstheme="minorHAnsi"/>
                <w:b/>
                <w:bCs/>
                <w:color w:val="4F81BD" w:themeColor="accent1"/>
              </w:rPr>
            </w:pPr>
            <w:r w:rsidRPr="002B596E">
              <w:rPr>
                <w:rFonts w:cstheme="minorHAnsi"/>
                <w:b/>
                <w:bCs/>
                <w:color w:val="4F81BD" w:themeColor="accent1"/>
                <w:rtl/>
              </w:rPr>
              <w:t>الجريدة الرسمية بالفرنسية: </w:t>
            </w:r>
            <w:r w:rsidRPr="002B596E">
              <w:rPr>
                <w:rFonts w:cstheme="minorHAnsi"/>
                <w:b/>
                <w:bCs/>
                <w:color w:val="4F81BD" w:themeColor="accent1"/>
              </w:rPr>
              <w:t xml:space="preserve"> </w:t>
            </w:r>
          </w:p>
          <w:p w14:paraId="2C869073" w14:textId="7C31A265" w:rsidR="00B60BB4" w:rsidRPr="002B596E" w:rsidRDefault="00B60BB4" w:rsidP="003F560A">
            <w:pPr>
              <w:bidi/>
              <w:rPr>
                <w:rFonts w:cstheme="minorHAnsi"/>
                <w:color w:val="000000"/>
              </w:rPr>
            </w:pPr>
          </w:p>
        </w:tc>
      </w:tr>
      <w:tr w:rsidR="00B60BB4" w14:paraId="3CED4541" w14:textId="77777777" w:rsidTr="003F560A">
        <w:tc>
          <w:tcPr>
            <w:tcW w:w="5637" w:type="dxa"/>
          </w:tcPr>
          <w:p w14:paraId="27E28A32" w14:textId="65F759BC" w:rsidR="00B60BB4" w:rsidRPr="002B596E" w:rsidRDefault="00B60BB4" w:rsidP="003F560A">
            <w:pPr>
              <w:rPr>
                <w:rFonts w:cstheme="minorHAnsi"/>
              </w:rPr>
            </w:pPr>
            <w:r w:rsidRPr="002B596E">
              <w:rPr>
                <w:rFonts w:cstheme="minorHAnsi"/>
                <w:b/>
                <w:bCs/>
                <w:color w:val="548DD4" w:themeColor="text2" w:themeTint="99"/>
              </w:rPr>
              <w:t>B.O. (en Arabe) :</w:t>
            </w:r>
            <w:r w:rsidRPr="002B596E">
              <w:rPr>
                <w:rFonts w:cstheme="minorHAnsi"/>
                <w:color w:val="548DD4" w:themeColor="text2" w:themeTint="99"/>
              </w:rPr>
              <w:t xml:space="preserve"> </w:t>
            </w:r>
            <w:r w:rsidR="00D03AD9" w:rsidRPr="002B596E">
              <w:rPr>
                <w:rFonts w:cstheme="minorHAnsi"/>
              </w:rPr>
              <w:t>70</w:t>
            </w:r>
            <w:r w:rsidR="001745DD">
              <w:rPr>
                <w:rFonts w:cstheme="minorHAnsi"/>
              </w:rPr>
              <w:t>60</w:t>
            </w:r>
            <w:r w:rsidR="00D03AD9" w:rsidRPr="002B596E">
              <w:rPr>
                <w:rFonts w:cstheme="minorHAnsi"/>
              </w:rPr>
              <w:t>-</w:t>
            </w:r>
            <w:r w:rsidR="001745DD">
              <w:rPr>
                <w:rFonts w:cstheme="minorHAnsi"/>
              </w:rPr>
              <w:t>24</w:t>
            </w:r>
            <w:r w:rsidR="00D03AD9" w:rsidRPr="002B596E">
              <w:rPr>
                <w:rFonts w:cstheme="minorHAnsi"/>
              </w:rPr>
              <w:t xml:space="preserve"> </w:t>
            </w:r>
            <w:proofErr w:type="spellStart"/>
            <w:r w:rsidR="00D03AD9" w:rsidRPr="002B596E">
              <w:rPr>
                <w:rFonts w:cstheme="minorHAnsi"/>
              </w:rPr>
              <w:t>joumada</w:t>
            </w:r>
            <w:proofErr w:type="spellEnd"/>
            <w:r w:rsidR="00D03AD9" w:rsidRPr="002B596E">
              <w:rPr>
                <w:rFonts w:cstheme="minorHAnsi"/>
              </w:rPr>
              <w:t xml:space="preserve"> II 1443</w:t>
            </w:r>
            <w:r w:rsidRPr="002B596E">
              <w:rPr>
                <w:rFonts w:cstheme="minorHAnsi"/>
              </w:rPr>
              <w:t xml:space="preserve"> (</w:t>
            </w:r>
            <w:r w:rsidR="001745DD">
              <w:rPr>
                <w:rFonts w:cstheme="minorHAnsi"/>
              </w:rPr>
              <w:t>27</w:t>
            </w:r>
            <w:r w:rsidR="00D03AD9" w:rsidRPr="002B596E">
              <w:rPr>
                <w:rFonts w:cstheme="minorHAnsi"/>
              </w:rPr>
              <w:t xml:space="preserve"> janvier 2022</w:t>
            </w:r>
            <w:r w:rsidRPr="002B596E">
              <w:rPr>
                <w:rFonts w:cstheme="minorHAnsi"/>
              </w:rPr>
              <w:t>)</w:t>
            </w:r>
          </w:p>
          <w:p w14:paraId="38DC6E04" w14:textId="77777777" w:rsidR="00B60BB4" w:rsidRPr="002B596E" w:rsidRDefault="00B60BB4" w:rsidP="003F560A">
            <w:pPr>
              <w:rPr>
                <w:rFonts w:cstheme="minorHAnsi"/>
                <w:highlight w:val="yellow"/>
              </w:rPr>
            </w:pPr>
          </w:p>
        </w:tc>
        <w:tc>
          <w:tcPr>
            <w:tcW w:w="5029" w:type="dxa"/>
            <w:vAlign w:val="center"/>
          </w:tcPr>
          <w:p w14:paraId="7B755EB9" w14:textId="77777777" w:rsidR="00B60BB4" w:rsidRPr="002B596E" w:rsidRDefault="00B60BB4" w:rsidP="003F560A">
            <w:pPr>
              <w:jc w:val="right"/>
              <w:rPr>
                <w:rFonts w:cstheme="minorHAnsi"/>
                <w:b/>
                <w:bCs/>
                <w:color w:val="4F81BD" w:themeColor="accent1"/>
              </w:rPr>
            </w:pPr>
            <w:r w:rsidRPr="002B596E">
              <w:rPr>
                <w:rFonts w:cstheme="minorHAnsi"/>
                <w:b/>
                <w:bCs/>
                <w:color w:val="4F81BD" w:themeColor="accent1"/>
                <w:rtl/>
              </w:rPr>
              <w:t>الجريدة الرسمية بالعربية: </w:t>
            </w:r>
          </w:p>
          <w:p w14:paraId="60BFE627" w14:textId="0B9C43B6" w:rsidR="00B60BB4" w:rsidRPr="002B596E" w:rsidRDefault="001745DD" w:rsidP="003F560A">
            <w:pPr>
              <w:jc w:val="right"/>
              <w:rPr>
                <w:rFonts w:cstheme="minorHAnsi"/>
                <w:color w:val="000000"/>
              </w:rPr>
            </w:pPr>
            <w:r>
              <w:rPr>
                <w:rFonts w:eastAsia="Times New Roman" w:cstheme="minorHAnsi" w:hint="cs"/>
                <w:rtl/>
                <w:lang w:eastAsia="fr-FR" w:bidi="ar-MA"/>
              </w:rPr>
              <w:t>7060</w:t>
            </w:r>
            <w:r w:rsidR="007A199C" w:rsidRPr="002B596E">
              <w:rPr>
                <w:rFonts w:eastAsia="Times New Roman" w:cstheme="minorHAnsi"/>
                <w:rtl/>
                <w:lang w:eastAsia="fr-FR" w:bidi="ar-MA"/>
              </w:rPr>
              <w:t xml:space="preserve">- </w:t>
            </w:r>
            <w:r>
              <w:rPr>
                <w:rFonts w:eastAsia="Times New Roman" w:cstheme="minorHAnsi" w:hint="cs"/>
                <w:rtl/>
                <w:lang w:eastAsia="fr-FR" w:bidi="ar-MA"/>
              </w:rPr>
              <w:t>24</w:t>
            </w:r>
            <w:r w:rsidR="00D03AD9" w:rsidRPr="002B596E">
              <w:rPr>
                <w:rFonts w:eastAsia="Times New Roman" w:cstheme="minorHAnsi"/>
                <w:rtl/>
                <w:lang w:eastAsia="fr-FR" w:bidi="ar-MA"/>
              </w:rPr>
              <w:t xml:space="preserve"> جمادى الاخرة 1443</w:t>
            </w:r>
            <w:r w:rsidR="007A199C" w:rsidRPr="002B596E">
              <w:rPr>
                <w:rFonts w:eastAsia="Times New Roman" w:cstheme="minorHAnsi"/>
                <w:rtl/>
                <w:lang w:eastAsia="fr-FR" w:bidi="ar-MA"/>
              </w:rPr>
              <w:t xml:space="preserve"> (</w:t>
            </w:r>
            <w:r>
              <w:rPr>
                <w:rFonts w:eastAsia="Times New Roman" w:cstheme="minorHAnsi" w:hint="cs"/>
                <w:rtl/>
                <w:lang w:eastAsia="fr-FR" w:bidi="ar-MA"/>
              </w:rPr>
              <w:t>27</w:t>
            </w:r>
            <w:r w:rsidR="00D03AD9" w:rsidRPr="002B596E">
              <w:rPr>
                <w:rFonts w:eastAsia="Times New Roman" w:cstheme="minorHAnsi"/>
                <w:rtl/>
                <w:lang w:eastAsia="fr-FR" w:bidi="ar-MA"/>
              </w:rPr>
              <w:t xml:space="preserve"> يناير2022</w:t>
            </w:r>
            <w:r w:rsidR="007A199C" w:rsidRPr="002B596E">
              <w:rPr>
                <w:rFonts w:eastAsia="Times New Roman" w:cstheme="minorHAnsi"/>
                <w:rtl/>
                <w:lang w:eastAsia="fr-FR" w:bidi="ar-MA"/>
              </w:rPr>
              <w:t>)</w:t>
            </w:r>
          </w:p>
        </w:tc>
      </w:tr>
    </w:tbl>
    <w:p w14:paraId="75869558" w14:textId="77777777" w:rsidR="00B60BB4" w:rsidRPr="002037B7" w:rsidRDefault="00B60BB4" w:rsidP="00B60BB4"/>
    <w:tbl>
      <w:tblPr>
        <w:tblStyle w:val="Grilledutableau"/>
        <w:tblW w:w="10632" w:type="dxa"/>
        <w:tblInd w:w="-885" w:type="dxa"/>
        <w:tblLook w:val="04A0" w:firstRow="1" w:lastRow="0" w:firstColumn="1" w:lastColumn="0" w:noHBand="0" w:noVBand="1"/>
      </w:tblPr>
      <w:tblGrid>
        <w:gridCol w:w="5529"/>
        <w:gridCol w:w="5103"/>
      </w:tblGrid>
      <w:tr w:rsidR="00B60BB4" w:rsidRPr="002037B7" w14:paraId="54042208" w14:textId="77777777" w:rsidTr="003F560A">
        <w:trPr>
          <w:trHeight w:val="555"/>
        </w:trPr>
        <w:tc>
          <w:tcPr>
            <w:tcW w:w="5529" w:type="dxa"/>
            <w:shd w:val="clear" w:color="auto" w:fill="548DD4" w:themeFill="text2" w:themeFillTint="99"/>
            <w:noWrap/>
            <w:vAlign w:val="center"/>
            <w:hideMark/>
          </w:tcPr>
          <w:p w14:paraId="471C3CCA" w14:textId="77777777" w:rsidR="00B60BB4" w:rsidRPr="00B60BB4" w:rsidRDefault="00B60BB4" w:rsidP="003F560A">
            <w:pPr>
              <w:jc w:val="center"/>
              <w:rPr>
                <w:b/>
                <w:bCs/>
                <w:color w:val="FFFFFF" w:themeColor="background1"/>
              </w:rPr>
            </w:pPr>
            <w:r w:rsidRPr="00B60BB4">
              <w:rPr>
                <w:b/>
                <w:bCs/>
                <w:color w:val="FFFFFF" w:themeColor="background1"/>
              </w:rPr>
              <w:t>Catégories d’opérations d'assurances pour lesquelles l'EAR est agréée</w:t>
            </w:r>
          </w:p>
        </w:tc>
        <w:tc>
          <w:tcPr>
            <w:tcW w:w="5103" w:type="dxa"/>
            <w:shd w:val="clear" w:color="auto" w:fill="548DD4" w:themeFill="text2" w:themeFillTint="99"/>
            <w:noWrap/>
            <w:vAlign w:val="center"/>
          </w:tcPr>
          <w:p w14:paraId="2154F9E9" w14:textId="77777777" w:rsidR="00B60BB4" w:rsidRPr="00B60BB4" w:rsidRDefault="00B60BB4" w:rsidP="003F560A">
            <w:pPr>
              <w:jc w:val="center"/>
              <w:rPr>
                <w:b/>
                <w:bCs/>
                <w:color w:val="FFFFFF" w:themeColor="background1"/>
              </w:rPr>
            </w:pPr>
            <w:r w:rsidRPr="00B60BB4">
              <w:rPr>
                <w:rFonts w:cs="Arial" w:hint="cs"/>
                <w:b/>
                <w:bCs/>
                <w:color w:val="FFFFFF" w:themeColor="background1"/>
                <w:rtl/>
              </w:rPr>
              <w:t>أصناف</w:t>
            </w:r>
            <w:r w:rsidRPr="00B60BB4">
              <w:rPr>
                <w:rFonts w:cs="Arial"/>
                <w:b/>
                <w:bCs/>
                <w:color w:val="FFFFFF" w:themeColor="background1"/>
                <w:rtl/>
              </w:rPr>
              <w:t xml:space="preserve"> </w:t>
            </w:r>
            <w:r w:rsidRPr="00B60BB4">
              <w:rPr>
                <w:rFonts w:cs="Arial" w:hint="cs"/>
                <w:b/>
                <w:bCs/>
                <w:color w:val="FFFFFF" w:themeColor="background1"/>
                <w:rtl/>
              </w:rPr>
              <w:t>عمليات</w:t>
            </w:r>
            <w:r w:rsidRPr="00B60BB4">
              <w:rPr>
                <w:rFonts w:cs="Arial"/>
                <w:b/>
                <w:bCs/>
                <w:color w:val="FFFFFF" w:themeColor="background1"/>
                <w:rtl/>
              </w:rPr>
              <w:t xml:space="preserve"> </w:t>
            </w:r>
            <w:r w:rsidRPr="00B60BB4">
              <w:rPr>
                <w:rFonts w:cs="Arial" w:hint="cs"/>
                <w:b/>
                <w:bCs/>
                <w:color w:val="FFFFFF" w:themeColor="background1"/>
                <w:rtl/>
              </w:rPr>
              <w:t>التأمين التي اعتمدت من أجلها مقاولة التأمين وإعادة التأمين</w:t>
            </w:r>
          </w:p>
        </w:tc>
      </w:tr>
      <w:tr w:rsidR="000745B6" w:rsidRPr="002037B7" w14:paraId="6ABA6485" w14:textId="77777777" w:rsidTr="003F560A">
        <w:trPr>
          <w:trHeight w:val="8190"/>
        </w:trPr>
        <w:tc>
          <w:tcPr>
            <w:tcW w:w="5529" w:type="dxa"/>
            <w:hideMark/>
          </w:tcPr>
          <w:p w14:paraId="33675DAD" w14:textId="77777777" w:rsidR="000745B6" w:rsidRDefault="000745B6" w:rsidP="000745B6">
            <w:r w:rsidRPr="002037B7">
              <w:br/>
              <w:t xml:space="preserve">1°) Vie et </w:t>
            </w:r>
            <w:proofErr w:type="gramStart"/>
            <w:r w:rsidRPr="002037B7">
              <w:t>décès:</w:t>
            </w:r>
            <w:proofErr w:type="gramEnd"/>
            <w:r w:rsidRPr="002037B7">
              <w:t xml:space="preserve"> toute opération d'assurances comportant des engagements dont l'exécution dépend de la durée de la vie humaine ;</w:t>
            </w:r>
          </w:p>
          <w:p w14:paraId="1F81728B" w14:textId="77777777" w:rsidR="000745B6" w:rsidRPr="002037B7" w:rsidRDefault="000745B6" w:rsidP="000745B6"/>
          <w:p w14:paraId="4413F6EB" w14:textId="77777777" w:rsidR="000745B6" w:rsidRPr="00EC642D" w:rsidRDefault="000745B6" w:rsidP="000745B6">
            <w:r w:rsidRPr="002037B7">
              <w:t xml:space="preserve">3°) </w:t>
            </w:r>
            <w:r>
              <w:t>Investissement</w:t>
            </w:r>
            <w:r>
              <w:rPr>
                <w:rFonts w:hint="cs"/>
                <w:rtl/>
              </w:rPr>
              <w:t xml:space="preserve"> </w:t>
            </w:r>
            <w:r>
              <w:t xml:space="preserve">Takaful : </w:t>
            </w:r>
            <w:r w:rsidRPr="002037B7">
              <w:t xml:space="preserve"> </w:t>
            </w:r>
            <w:r w:rsidRPr="00577518">
              <w:t>Toute opération d'appel à l'épargne où la probabilité de décès ou de survie n'intervient pas dans la détermination des sommes obtenues/constituées de telle sorte qu’en échange de cotisation unique contributions ou de cotisations uniques ou périodiques, le participant perçoit le capital constitué de ces versements ainsi que du résultat de leurs placements desdites cotisations et du produit de leur placement dans une ou plusieurs opérations d’investissement ;</w:t>
            </w:r>
          </w:p>
          <w:p w14:paraId="4CF46698" w14:textId="77777777" w:rsidR="000745B6" w:rsidRDefault="000745B6" w:rsidP="000745B6">
            <w:pPr>
              <w:rPr>
                <w:rtl/>
              </w:rPr>
            </w:pPr>
          </w:p>
          <w:p w14:paraId="5710AB29" w14:textId="77777777" w:rsidR="000745B6" w:rsidRPr="002037B7" w:rsidRDefault="000745B6" w:rsidP="000745B6">
            <w:r w:rsidRPr="002037B7">
              <w:t>7°) Opérations d'assurances contre les risques d'accidents corporels ;</w:t>
            </w:r>
          </w:p>
          <w:p w14:paraId="35832AD9" w14:textId="77777777" w:rsidR="000745B6" w:rsidRPr="002037B7" w:rsidRDefault="000745B6" w:rsidP="000745B6"/>
          <w:p w14:paraId="040F9057" w14:textId="77777777" w:rsidR="000745B6" w:rsidRPr="008F54E1" w:rsidRDefault="000745B6" w:rsidP="000745B6">
            <w:r w:rsidRPr="008F54E1">
              <w:t xml:space="preserve">17°) Opérations d'assurances contre l'incendie et éléments naturels : toute assurance couvrant tout dommage subi par les biens, autres que les biens compris dans les catégories 10°, 12°, 14° et 15° </w:t>
            </w:r>
            <w:r>
              <w:t>de la circulaire n° 02/AS/21du 20 avril 2021,</w:t>
            </w:r>
            <w:r w:rsidRPr="008F54E1">
              <w:t xml:space="preserve"> lorsque ce dommage est causé par : incendie, explosion, éléments et événements naturels autres que la grêle et la gelée, énergie nucléaire et affaissement de terrain ;</w:t>
            </w:r>
          </w:p>
          <w:p w14:paraId="64211459" w14:textId="77777777" w:rsidR="000745B6" w:rsidRPr="008F54E1" w:rsidRDefault="000745B6" w:rsidP="000745B6">
            <w:pPr>
              <w:spacing w:before="120"/>
              <w:rPr>
                <w:noProof/>
                <w:lang w:eastAsia="fr-FR"/>
              </w:rPr>
            </w:pPr>
            <w:r w:rsidRPr="008F54E1">
              <w:rPr>
                <w:noProof/>
                <w:lang w:eastAsia="fr-FR"/>
              </w:rPr>
              <w:t>28°)</w:t>
            </w:r>
            <w:r w:rsidRPr="008F54E1">
              <w:rPr>
                <w:noProof/>
                <w:rtl/>
                <w:lang w:eastAsia="fr-FR"/>
              </w:rPr>
              <w:t xml:space="preserve"> </w:t>
            </w:r>
            <w:r w:rsidRPr="008F54E1">
              <w:rPr>
                <w:noProof/>
                <w:lang w:eastAsia="fr-FR"/>
              </w:rPr>
              <w:t>Les opérations d’assurances suivantes :</w:t>
            </w:r>
          </w:p>
          <w:p w14:paraId="641683C1" w14:textId="77777777" w:rsidR="000745B6" w:rsidRPr="008F54E1" w:rsidRDefault="000745B6" w:rsidP="000745B6">
            <w:pPr>
              <w:spacing w:before="120"/>
              <w:rPr>
                <w:rtl/>
                <w:lang w:eastAsia="fr-FR"/>
              </w:rPr>
            </w:pPr>
            <w:r w:rsidRPr="008F54E1">
              <w:rPr>
                <w:lang w:eastAsia="fr-FR"/>
              </w:rPr>
              <w:lastRenderedPageBreak/>
              <w:t>28-1) Opérations d’assurances contre les risques bris de glaces ;</w:t>
            </w:r>
          </w:p>
          <w:p w14:paraId="4EC972C1" w14:textId="77777777" w:rsidR="000745B6" w:rsidRPr="008F54E1" w:rsidRDefault="000745B6" w:rsidP="000745B6">
            <w:pPr>
              <w:spacing w:before="120"/>
              <w:rPr>
                <w:lang w:eastAsia="fr-FR"/>
              </w:rPr>
            </w:pPr>
            <w:r w:rsidRPr="008F54E1">
              <w:rPr>
                <w:lang w:eastAsia="fr-FR"/>
              </w:rPr>
              <w:t>28-2) Opérations d’assurances contre les risques « dégâts des eaux </w:t>
            </w:r>
            <w:proofErr w:type="gramStart"/>
            <w:r w:rsidRPr="008F54E1">
              <w:rPr>
                <w:lang w:eastAsia="fr-FR"/>
              </w:rPr>
              <w:t xml:space="preserve">» </w:t>
            </w:r>
            <w:r>
              <w:rPr>
                <w:lang w:eastAsia="fr-FR"/>
              </w:rPr>
              <w:t>.</w:t>
            </w:r>
            <w:proofErr w:type="gramEnd"/>
          </w:p>
          <w:p w14:paraId="3DDF0DD9" w14:textId="77777777" w:rsidR="000745B6" w:rsidRPr="002037B7" w:rsidRDefault="000745B6" w:rsidP="000745B6"/>
        </w:tc>
        <w:tc>
          <w:tcPr>
            <w:tcW w:w="5103" w:type="dxa"/>
          </w:tcPr>
          <w:p w14:paraId="214448AE" w14:textId="77777777" w:rsidR="000745B6" w:rsidRPr="002037B7" w:rsidRDefault="000745B6" w:rsidP="000745B6">
            <w:pPr>
              <w:jc w:val="right"/>
            </w:pPr>
          </w:p>
          <w:p w14:paraId="53A50AA2" w14:textId="77777777" w:rsidR="000745B6" w:rsidRPr="00856429" w:rsidRDefault="000745B6" w:rsidP="000745B6">
            <w:pPr>
              <w:bidi/>
              <w:spacing w:after="180" w:line="300" w:lineRule="exact"/>
              <w:jc w:val="both"/>
              <w:rPr>
                <w:rFonts w:asciiTheme="majorBidi" w:hAnsiTheme="majorBidi" w:cstheme="majorBidi"/>
                <w:rtl/>
              </w:rPr>
            </w:pPr>
            <w:r>
              <w:rPr>
                <w:rFonts w:hint="cs"/>
                <w:rtl/>
              </w:rPr>
              <w:t>1</w:t>
            </w:r>
            <w:r w:rsidRPr="00856429">
              <w:rPr>
                <w:rFonts w:asciiTheme="majorBidi" w:hAnsiTheme="majorBidi" w:cstheme="majorBidi"/>
                <w:rtl/>
              </w:rPr>
              <w:t>- الحياة والوفاة: كل عملية تأمين تتضمن التزامات يتوقف تنفيذها على مدة حياة الإنسان؛</w:t>
            </w:r>
          </w:p>
          <w:p w14:paraId="7D95D75E" w14:textId="77777777" w:rsidR="000745B6" w:rsidRPr="00856429" w:rsidRDefault="000745B6" w:rsidP="000745B6">
            <w:pPr>
              <w:bidi/>
              <w:jc w:val="both"/>
              <w:rPr>
                <w:rFonts w:asciiTheme="majorBidi" w:hAnsiTheme="majorBidi" w:cstheme="majorBidi"/>
                <w:rtl/>
              </w:rPr>
            </w:pPr>
            <w:r w:rsidRPr="00856429">
              <w:rPr>
                <w:rFonts w:asciiTheme="majorBidi" w:hAnsiTheme="majorBidi" w:cstheme="majorBidi"/>
                <w:rtl/>
              </w:rPr>
              <w:t>3- الاستثمار التكافلي: كل عملية تدعو للادخار بهدف حصول المشترك مقابل اشتراكات تسدد دفعة واحدة أو في شكل دفعات دورية على مبلغ الرأسمال المكون من هذه الدفعات ومن ناتج توظيفاتها، ولا يراعى في هذه العملية احتمال البقاء على قيد الحياة أو الوفاة عند تحديد المبالغ المحصل عليها؛</w:t>
            </w:r>
          </w:p>
          <w:p w14:paraId="78742E47" w14:textId="77777777" w:rsidR="000745B6" w:rsidRPr="00856429" w:rsidRDefault="000745B6" w:rsidP="000745B6">
            <w:pPr>
              <w:bidi/>
              <w:rPr>
                <w:rFonts w:asciiTheme="majorBidi" w:hAnsiTheme="majorBidi" w:cstheme="majorBidi"/>
                <w:rtl/>
              </w:rPr>
            </w:pPr>
          </w:p>
          <w:p w14:paraId="1C2040D2" w14:textId="77777777" w:rsidR="000745B6" w:rsidRPr="00856429" w:rsidRDefault="000745B6" w:rsidP="000745B6">
            <w:pPr>
              <w:bidi/>
              <w:spacing w:after="180" w:line="300" w:lineRule="exact"/>
              <w:jc w:val="both"/>
              <w:rPr>
                <w:rFonts w:asciiTheme="majorBidi" w:hAnsiTheme="majorBidi" w:cstheme="majorBidi"/>
              </w:rPr>
            </w:pPr>
            <w:r w:rsidRPr="00856429">
              <w:rPr>
                <w:rFonts w:asciiTheme="majorBidi" w:hAnsiTheme="majorBidi" w:cstheme="majorBidi"/>
                <w:rtl/>
              </w:rPr>
              <w:t>7- عمليات التأمين على أخطار الحوادث الجسمانية؛</w:t>
            </w:r>
          </w:p>
          <w:p w14:paraId="1C6388D7" w14:textId="77777777" w:rsidR="000745B6" w:rsidRPr="00856429" w:rsidRDefault="000745B6" w:rsidP="000745B6">
            <w:pPr>
              <w:bidi/>
              <w:spacing w:after="180" w:line="300" w:lineRule="exact"/>
              <w:jc w:val="both"/>
              <w:rPr>
                <w:rFonts w:asciiTheme="majorBidi" w:hAnsiTheme="majorBidi" w:cstheme="majorBidi"/>
              </w:rPr>
            </w:pPr>
            <w:r w:rsidRPr="00856429">
              <w:rPr>
                <w:rFonts w:asciiTheme="majorBidi" w:hAnsiTheme="majorBidi" w:cstheme="majorBidi"/>
                <w:rtl/>
              </w:rPr>
              <w:t xml:space="preserve">17- عمليات التأمين على الحريق والوقائع الطبيعية: كل تأمين يغطي كل ضرر يلحق الأموال غير تلك الواردة في الأصناف 10 و12 و14 و15 المشار إليها في المادة 6 </w:t>
            </w:r>
            <w:r w:rsidRPr="00577518">
              <w:rPr>
                <w:rFonts w:asciiTheme="majorBidi" w:hAnsiTheme="majorBidi" w:cstheme="majorBidi" w:hint="cs"/>
                <w:rtl/>
              </w:rPr>
              <w:t xml:space="preserve">من </w:t>
            </w:r>
            <w:proofErr w:type="spellStart"/>
            <w:r w:rsidRPr="00577518">
              <w:rPr>
                <w:rFonts w:asciiTheme="majorBidi" w:hAnsiTheme="majorBidi" w:cstheme="majorBidi" w:hint="cs"/>
                <w:rtl/>
              </w:rPr>
              <w:t>المنشوررقم</w:t>
            </w:r>
            <w:proofErr w:type="spellEnd"/>
            <w:r w:rsidRPr="00577518">
              <w:rPr>
                <w:rFonts w:asciiTheme="majorBidi" w:hAnsiTheme="majorBidi" w:cstheme="majorBidi" w:hint="cs"/>
                <w:rtl/>
              </w:rPr>
              <w:t xml:space="preserve"> 21/02/</w:t>
            </w:r>
            <w:r w:rsidRPr="00577518">
              <w:rPr>
                <w:rFonts w:asciiTheme="majorBidi" w:hAnsiTheme="majorBidi" w:cstheme="majorBidi"/>
                <w:lang w:val="fr-MA"/>
              </w:rPr>
              <w:t xml:space="preserve"> AS</w:t>
            </w:r>
            <w:r w:rsidRPr="00577518">
              <w:rPr>
                <w:rFonts w:asciiTheme="majorBidi" w:hAnsiTheme="majorBidi" w:cstheme="majorBidi"/>
              </w:rPr>
              <w:t xml:space="preserve"> </w:t>
            </w:r>
            <w:r w:rsidRPr="00577518">
              <w:rPr>
                <w:rFonts w:asciiTheme="majorBidi" w:hAnsiTheme="majorBidi" w:cstheme="majorBidi"/>
                <w:rtl/>
                <w:lang w:bidi="ar-MA"/>
              </w:rPr>
              <w:t>الصادر</w:t>
            </w:r>
            <w:r w:rsidRPr="00577518">
              <w:rPr>
                <w:rFonts w:asciiTheme="majorBidi" w:hAnsiTheme="majorBidi" w:cstheme="majorBidi"/>
                <w:rtl/>
              </w:rPr>
              <w:t xml:space="preserve"> في 20 أبريل</w:t>
            </w:r>
            <w:r w:rsidRPr="00577518">
              <w:rPr>
                <w:rFonts w:asciiTheme="majorBidi" w:hAnsiTheme="majorBidi" w:cstheme="majorBidi"/>
              </w:rPr>
              <w:t>2021</w:t>
            </w:r>
            <w:r w:rsidRPr="00577518">
              <w:rPr>
                <w:rFonts w:asciiTheme="majorBidi" w:hAnsiTheme="majorBidi" w:cstheme="majorBidi" w:hint="cs"/>
                <w:rtl/>
              </w:rPr>
              <w:t>،</w:t>
            </w:r>
            <w:r w:rsidRPr="00577518">
              <w:rPr>
                <w:rFonts w:asciiTheme="majorBidi" w:hAnsiTheme="majorBidi" w:cstheme="majorBidi"/>
                <w:lang w:bidi="ar-MA"/>
              </w:rPr>
              <w:t xml:space="preserve"> </w:t>
            </w:r>
            <w:r w:rsidRPr="00577518">
              <w:rPr>
                <w:rFonts w:asciiTheme="majorBidi" w:hAnsiTheme="majorBidi" w:cstheme="majorBidi"/>
                <w:rtl/>
              </w:rPr>
              <w:t>عندما</w:t>
            </w:r>
            <w:r w:rsidRPr="00577518">
              <w:rPr>
                <w:rFonts w:asciiTheme="majorBidi" w:hAnsiTheme="majorBidi" w:cstheme="majorBidi"/>
                <w:rtl/>
                <w:lang w:bidi="ar-MA"/>
              </w:rPr>
              <w:t xml:space="preserve"> يكون هذا الضرر ناتجا عن: حريق أو</w:t>
            </w:r>
            <w:r w:rsidRPr="00577518">
              <w:rPr>
                <w:rFonts w:asciiTheme="majorBidi" w:hAnsiTheme="majorBidi" w:cstheme="majorBidi"/>
                <w:rtl/>
              </w:rPr>
              <w:t xml:space="preserve"> </w:t>
            </w:r>
            <w:r w:rsidRPr="00577518">
              <w:rPr>
                <w:rFonts w:asciiTheme="majorBidi" w:hAnsiTheme="majorBidi" w:cstheme="majorBidi"/>
                <w:rtl/>
                <w:lang w:bidi="ar-MA"/>
              </w:rPr>
              <w:t>انفجار أو وقائع طبيعية غير البرد</w:t>
            </w:r>
            <w:r w:rsidRPr="00577518">
              <w:rPr>
                <w:rFonts w:asciiTheme="majorBidi" w:hAnsiTheme="majorBidi" w:cstheme="majorBidi"/>
                <w:rtl/>
              </w:rPr>
              <w:t xml:space="preserve"> والصقيع أو الطاقة النووية أو انجراف</w:t>
            </w:r>
            <w:r w:rsidRPr="00856429">
              <w:rPr>
                <w:rFonts w:asciiTheme="majorBidi" w:hAnsiTheme="majorBidi" w:cstheme="majorBidi"/>
                <w:rtl/>
              </w:rPr>
              <w:t xml:space="preserve"> التربة؛</w:t>
            </w:r>
          </w:p>
          <w:p w14:paraId="31855DB3" w14:textId="77777777" w:rsidR="000745B6" w:rsidRPr="00D360F4" w:rsidRDefault="000745B6" w:rsidP="000745B6">
            <w:pPr>
              <w:bidi/>
              <w:spacing w:after="180" w:line="300" w:lineRule="exact"/>
              <w:jc w:val="both"/>
              <w:rPr>
                <w:rFonts w:asciiTheme="majorBidi" w:hAnsiTheme="majorBidi" w:cstheme="majorBidi"/>
                <w:rtl/>
              </w:rPr>
            </w:pPr>
            <w:r w:rsidRPr="00856429">
              <w:rPr>
                <w:rFonts w:asciiTheme="majorBidi" w:hAnsiTheme="majorBidi" w:cstheme="majorBidi"/>
                <w:rtl/>
              </w:rPr>
              <w:t>28 - عمليات التأمين التالية:</w:t>
            </w:r>
          </w:p>
          <w:p w14:paraId="64685B57" w14:textId="77777777" w:rsidR="000745B6" w:rsidRPr="00856429" w:rsidRDefault="000745B6" w:rsidP="000745B6">
            <w:pPr>
              <w:bidi/>
              <w:spacing w:after="180" w:line="300" w:lineRule="exact"/>
              <w:jc w:val="both"/>
              <w:rPr>
                <w:rFonts w:asciiTheme="majorBidi" w:hAnsiTheme="majorBidi" w:cstheme="majorBidi"/>
                <w:rtl/>
              </w:rPr>
            </w:pPr>
            <w:r w:rsidRPr="00856429">
              <w:rPr>
                <w:rFonts w:asciiTheme="majorBidi" w:hAnsiTheme="majorBidi" w:cstheme="majorBidi"/>
                <w:rtl/>
              </w:rPr>
              <w:t>28-1) عمليات التأمين ضد أخطار تكسر الزجاج؛</w:t>
            </w:r>
          </w:p>
          <w:p w14:paraId="1285051B" w14:textId="77777777" w:rsidR="000745B6" w:rsidRDefault="000745B6" w:rsidP="000745B6">
            <w:pPr>
              <w:bidi/>
              <w:spacing w:after="180" w:line="300" w:lineRule="exact"/>
              <w:jc w:val="both"/>
              <w:rPr>
                <w:rFonts w:asciiTheme="majorBidi" w:hAnsiTheme="majorBidi" w:cstheme="majorBidi"/>
                <w:rtl/>
              </w:rPr>
            </w:pPr>
            <w:r w:rsidRPr="00856429">
              <w:rPr>
                <w:rFonts w:asciiTheme="majorBidi" w:hAnsiTheme="majorBidi" w:cstheme="majorBidi"/>
                <w:rtl/>
              </w:rPr>
              <w:t>28-2) عمليات التأمين ضد أخطار الخسائر الناجمة عن المياه.</w:t>
            </w:r>
          </w:p>
          <w:p w14:paraId="33E1710A" w14:textId="23045A3B" w:rsidR="000745B6" w:rsidRPr="002037B7" w:rsidRDefault="000745B6" w:rsidP="000745B6">
            <w:pPr>
              <w:bidi/>
              <w:jc w:val="both"/>
            </w:pPr>
          </w:p>
        </w:tc>
      </w:tr>
    </w:tbl>
    <w:p w14:paraId="0BAF44FF" w14:textId="77777777" w:rsidR="00B60BB4" w:rsidRPr="002037B7" w:rsidRDefault="00B60BB4" w:rsidP="00B60BB4"/>
    <w:p w14:paraId="5DF695B8" w14:textId="77777777" w:rsidR="00B60BB4" w:rsidRPr="002037B7" w:rsidRDefault="00B60BB4" w:rsidP="00B60BB4"/>
    <w:p w14:paraId="57DA9EB1" w14:textId="77777777" w:rsidR="00B60BB4" w:rsidRPr="002037B7" w:rsidRDefault="00B60BB4" w:rsidP="00B60BB4"/>
    <w:p w14:paraId="7906C6E3" w14:textId="77777777" w:rsidR="00B60BB4" w:rsidRDefault="00B60BB4" w:rsidP="00B60BB4"/>
    <w:p w14:paraId="1408E376" w14:textId="77777777" w:rsidR="00B60BB4" w:rsidRDefault="00B60BB4"/>
    <w:sectPr w:rsidR="00B60BB4">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9D566" w14:textId="77777777" w:rsidR="002D6528" w:rsidRDefault="002D6528" w:rsidP="00B60BB4">
      <w:pPr>
        <w:spacing w:after="0" w:line="240" w:lineRule="auto"/>
      </w:pPr>
      <w:r>
        <w:separator/>
      </w:r>
    </w:p>
  </w:endnote>
  <w:endnote w:type="continuationSeparator" w:id="0">
    <w:p w14:paraId="51951769" w14:textId="77777777" w:rsidR="002D6528" w:rsidRDefault="002D6528" w:rsidP="00B60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otham-Book">
    <w:altName w:val="Arial"/>
    <w:panose1 w:val="00000000000000000000"/>
    <w:charset w:val="00"/>
    <w:family w:val="swiss"/>
    <w:notTrueType/>
    <w:pitch w:val="default"/>
    <w:sig w:usb0="00000003" w:usb1="00000000" w:usb2="00000000" w:usb3="00000000" w:csb0="00000001" w:csb1="00000000"/>
  </w:font>
  <w:font w:name="Arabic Transparent">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CB280" w14:textId="77777777" w:rsidR="002D6528" w:rsidRDefault="002D6528" w:rsidP="00B60BB4">
      <w:pPr>
        <w:spacing w:after="0" w:line="240" w:lineRule="auto"/>
      </w:pPr>
      <w:r>
        <w:separator/>
      </w:r>
    </w:p>
  </w:footnote>
  <w:footnote w:type="continuationSeparator" w:id="0">
    <w:p w14:paraId="7F3F28E9" w14:textId="77777777" w:rsidR="002D6528" w:rsidRDefault="002D6528" w:rsidP="00B60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0999" w14:textId="77777777" w:rsidR="00B60BB4" w:rsidRDefault="00B60BB4" w:rsidP="00B60BB4">
    <w:pPr>
      <w:pStyle w:val="En-tte"/>
    </w:pPr>
    <w:r>
      <w:ptab w:relativeTo="margin" w:alignment="center" w:leader="none"/>
    </w:r>
    <w:r>
      <w:rPr>
        <w:noProof/>
        <w:lang w:eastAsia="fr-FR"/>
      </w:rPr>
      <w:drawing>
        <wp:inline distT="0" distB="0" distL="0" distR="0" wp14:anchorId="76187153" wp14:editId="22C07C75">
          <wp:extent cx="2596896" cy="677030"/>
          <wp:effectExtent l="0" t="0" r="0" b="8890"/>
          <wp:docPr id="1" name="Image 1" descr="C:\Users\yassmina.benchakroun\Desktop\Yassmina 2017 Pro\Charte graphique\charte graphique\logo\logo ACAPS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smina.benchakroun\Desktop\Yassmina 2017 Pro\Charte graphique\charte graphique\logo\logo ACAPS F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6850" cy="677018"/>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9064F"/>
    <w:multiLevelType w:val="hybridMultilevel"/>
    <w:tmpl w:val="CD7A570A"/>
    <w:lvl w:ilvl="0" w:tplc="4C8E61A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BB4"/>
    <w:rsid w:val="00005965"/>
    <w:rsid w:val="0001686C"/>
    <w:rsid w:val="000377E0"/>
    <w:rsid w:val="000745B6"/>
    <w:rsid w:val="000962E6"/>
    <w:rsid w:val="00097A3F"/>
    <w:rsid w:val="000A3060"/>
    <w:rsid w:val="00135966"/>
    <w:rsid w:val="001625AA"/>
    <w:rsid w:val="00163C70"/>
    <w:rsid w:val="001745DD"/>
    <w:rsid w:val="001F74AB"/>
    <w:rsid w:val="002A1936"/>
    <w:rsid w:val="002A3ED9"/>
    <w:rsid w:val="002B596E"/>
    <w:rsid w:val="002D6528"/>
    <w:rsid w:val="003131F7"/>
    <w:rsid w:val="003F7D20"/>
    <w:rsid w:val="00412CD0"/>
    <w:rsid w:val="004377BF"/>
    <w:rsid w:val="004C7729"/>
    <w:rsid w:val="004E5BC9"/>
    <w:rsid w:val="006504DE"/>
    <w:rsid w:val="007240C1"/>
    <w:rsid w:val="007A199C"/>
    <w:rsid w:val="008A7881"/>
    <w:rsid w:val="008E184C"/>
    <w:rsid w:val="00921A6D"/>
    <w:rsid w:val="00953A55"/>
    <w:rsid w:val="0095586D"/>
    <w:rsid w:val="009B2B5D"/>
    <w:rsid w:val="00A40039"/>
    <w:rsid w:val="00A9691E"/>
    <w:rsid w:val="00B215AF"/>
    <w:rsid w:val="00B60BB4"/>
    <w:rsid w:val="00B6246D"/>
    <w:rsid w:val="00C03CB5"/>
    <w:rsid w:val="00C23CD6"/>
    <w:rsid w:val="00C63663"/>
    <w:rsid w:val="00CC23FF"/>
    <w:rsid w:val="00D03AD9"/>
    <w:rsid w:val="00D62509"/>
    <w:rsid w:val="00D77D3C"/>
    <w:rsid w:val="00D83031"/>
    <w:rsid w:val="00DD543D"/>
    <w:rsid w:val="00E914EC"/>
    <w:rsid w:val="00EA0140"/>
    <w:rsid w:val="00EB186F"/>
    <w:rsid w:val="00EC642D"/>
    <w:rsid w:val="00F92EDA"/>
    <w:rsid w:val="00FF333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1181"/>
  <w15:docId w15:val="{6A5C3290-2A6B-4858-815E-2E78AA9C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B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60BB4"/>
    <w:pPr>
      <w:tabs>
        <w:tab w:val="center" w:pos="4153"/>
        <w:tab w:val="right" w:pos="8306"/>
      </w:tabs>
      <w:spacing w:after="0" w:line="240" w:lineRule="auto"/>
    </w:pPr>
  </w:style>
  <w:style w:type="character" w:customStyle="1" w:styleId="En-tteCar">
    <w:name w:val="En-tête Car"/>
    <w:basedOn w:val="Policepardfaut"/>
    <w:link w:val="En-tte"/>
    <w:uiPriority w:val="99"/>
    <w:rsid w:val="00B60BB4"/>
  </w:style>
  <w:style w:type="paragraph" w:styleId="Pieddepage">
    <w:name w:val="footer"/>
    <w:basedOn w:val="Normal"/>
    <w:link w:val="PieddepageCar"/>
    <w:uiPriority w:val="99"/>
    <w:unhideWhenUsed/>
    <w:rsid w:val="00B60BB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60BB4"/>
  </w:style>
  <w:style w:type="paragraph" w:styleId="Textedebulles">
    <w:name w:val="Balloon Text"/>
    <w:basedOn w:val="Normal"/>
    <w:link w:val="TextedebullesCar"/>
    <w:uiPriority w:val="99"/>
    <w:semiHidden/>
    <w:unhideWhenUsed/>
    <w:rsid w:val="00B60B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0BB4"/>
    <w:rPr>
      <w:rFonts w:ascii="Tahoma" w:hAnsi="Tahoma" w:cs="Tahoma"/>
      <w:sz w:val="16"/>
      <w:szCs w:val="16"/>
    </w:rPr>
  </w:style>
  <w:style w:type="table" w:styleId="Grilledutableau">
    <w:name w:val="Table Grid"/>
    <w:basedOn w:val="TableauNormal"/>
    <w:uiPriority w:val="59"/>
    <w:rsid w:val="00B60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ist Paragraph (numbered (a)) Char,List Paragraph Char Char Char,List Paragraph (numbered (a)),RUS List,Paragraphe,Policy_Paragraph,List Paragraph1,List Paragraph11,Normal Paragraph,Colorful List - Accent 11,Ondertekst Avida"/>
    <w:basedOn w:val="Normal"/>
    <w:link w:val="ParagraphedelisteCar"/>
    <w:uiPriority w:val="34"/>
    <w:qFormat/>
    <w:rsid w:val="006504DE"/>
    <w:pPr>
      <w:autoSpaceDE w:val="0"/>
      <w:autoSpaceDN w:val="0"/>
      <w:adjustRightInd w:val="0"/>
      <w:ind w:left="720"/>
      <w:contextualSpacing/>
    </w:pPr>
    <w:rPr>
      <w:rFonts w:asciiTheme="majorHAnsi" w:hAnsiTheme="majorHAnsi" w:cs="Gotham-Book"/>
    </w:rPr>
  </w:style>
  <w:style w:type="character" w:customStyle="1" w:styleId="ParagraphedelisteCar">
    <w:name w:val="Paragraphe de liste Car"/>
    <w:aliases w:val="List Paragraph (numbered (a)) Char Car,List Paragraph Char Char Char Car,List Paragraph (numbered (a)) Car,RUS List Car,Paragraphe Car,Policy_Paragraph Car,List Paragraph1 Car,List Paragraph11 Car,Normal Paragraph Car"/>
    <w:basedOn w:val="Policepardfaut"/>
    <w:link w:val="Paragraphedeliste"/>
    <w:uiPriority w:val="34"/>
    <w:locked/>
    <w:rsid w:val="006504DE"/>
    <w:rPr>
      <w:rFonts w:asciiTheme="majorHAnsi" w:hAnsiTheme="majorHAnsi" w:cs="Gotham-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429</Words>
  <Characters>2362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daps</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Yassmina BENCHAKROUN</dc:creator>
  <cp:lastModifiedBy>Sanaa RADI</cp:lastModifiedBy>
  <cp:revision>11</cp:revision>
  <dcterms:created xsi:type="dcterms:W3CDTF">2022-03-22T10:44:00Z</dcterms:created>
  <dcterms:modified xsi:type="dcterms:W3CDTF">2022-04-04T09:53:00Z</dcterms:modified>
</cp:coreProperties>
</file>