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70A1" w14:textId="77777777" w:rsidR="00F01689" w:rsidRDefault="008B4E3F"/>
    <w:tbl>
      <w:tblPr>
        <w:tblStyle w:val="Grilledutableau"/>
        <w:tblW w:w="10972" w:type="dxa"/>
        <w:tblInd w:w="-1067" w:type="dxa"/>
        <w:tblLook w:val="04A0" w:firstRow="1" w:lastRow="0" w:firstColumn="1" w:lastColumn="0" w:noHBand="0" w:noVBand="1"/>
      </w:tblPr>
      <w:tblGrid>
        <w:gridCol w:w="5853"/>
        <w:gridCol w:w="5119"/>
      </w:tblGrid>
      <w:tr w:rsidR="00500146" w:rsidRPr="002037B7" w14:paraId="7C6CD189" w14:textId="77777777" w:rsidTr="003F560A">
        <w:tc>
          <w:tcPr>
            <w:tcW w:w="5853" w:type="dxa"/>
            <w:shd w:val="clear" w:color="auto" w:fill="548DD4" w:themeFill="text2" w:themeFillTint="99"/>
            <w:vAlign w:val="center"/>
          </w:tcPr>
          <w:p w14:paraId="23509965" w14:textId="77777777" w:rsidR="00500146" w:rsidRPr="002037B7" w:rsidRDefault="00500146" w:rsidP="003F560A">
            <w:pPr>
              <w:tabs>
                <w:tab w:val="left" w:pos="467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3F05">
              <w:rPr>
                <w:b/>
                <w:bCs/>
                <w:color w:val="FFFFFF" w:themeColor="background1"/>
                <w:sz w:val="28"/>
                <w:szCs w:val="28"/>
              </w:rPr>
              <w:t>Marocaine-Vie</w:t>
            </w:r>
          </w:p>
        </w:tc>
        <w:tc>
          <w:tcPr>
            <w:tcW w:w="5119" w:type="dxa"/>
            <w:shd w:val="clear" w:color="auto" w:fill="548DD4" w:themeFill="text2" w:themeFillTint="99"/>
            <w:vAlign w:val="center"/>
          </w:tcPr>
          <w:p w14:paraId="6619876A" w14:textId="77777777" w:rsidR="00500146" w:rsidRPr="00500146" w:rsidRDefault="00500146" w:rsidP="003F560A">
            <w:pPr>
              <w:jc w:val="center"/>
              <w:rPr>
                <w:sz w:val="28"/>
                <w:szCs w:val="28"/>
              </w:rPr>
            </w:pPr>
            <w:r w:rsidRPr="0050014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المغربية للحياة</w:t>
            </w:r>
          </w:p>
        </w:tc>
      </w:tr>
      <w:tr w:rsidR="00500146" w:rsidRPr="002037B7" w14:paraId="4AF9FB31" w14:textId="77777777" w:rsidTr="003F560A">
        <w:tc>
          <w:tcPr>
            <w:tcW w:w="5853" w:type="dxa"/>
          </w:tcPr>
          <w:p w14:paraId="75AF616A" w14:textId="77777777" w:rsidR="00500146" w:rsidRPr="002037B7" w:rsidRDefault="00500146" w:rsidP="003F560A">
            <w:pPr>
              <w:tabs>
                <w:tab w:val="left" w:pos="4678"/>
              </w:tabs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Adresse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  <w:r w:rsidRPr="002037B7">
              <w:rPr>
                <w:rFonts w:ascii="Calibri" w:hAnsi="Calibri"/>
                <w:color w:val="000000"/>
              </w:rPr>
              <w:t>37, Boulevard Moulay Youssef, Casablanca</w:t>
            </w:r>
          </w:p>
          <w:p w14:paraId="64390808" w14:textId="77777777" w:rsidR="00500146" w:rsidRPr="002037B7" w:rsidRDefault="00500146" w:rsidP="003F560A">
            <w:pPr>
              <w:tabs>
                <w:tab w:val="left" w:pos="4678"/>
              </w:tabs>
            </w:pPr>
          </w:p>
        </w:tc>
        <w:tc>
          <w:tcPr>
            <w:tcW w:w="5119" w:type="dxa"/>
            <w:vAlign w:val="center"/>
          </w:tcPr>
          <w:p w14:paraId="7AF603BA" w14:textId="77777777" w:rsidR="00500146" w:rsidRPr="00B27333" w:rsidRDefault="00500146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27333">
              <w:rPr>
                <w:rFonts w:cs="Arabic Transparent" w:hint="cs"/>
                <w:b/>
                <w:bCs/>
                <w:color w:val="4F81BD" w:themeColor="accent1"/>
                <w:sz w:val="24"/>
                <w:szCs w:val="24"/>
                <w:rtl/>
                <w:lang w:bidi="ar-MA"/>
              </w:rPr>
              <w:t>عنوان</w:t>
            </w:r>
            <w:r w:rsidRPr="00B27333">
              <w:rPr>
                <w:rFonts w:cs="Arabic Transparent"/>
                <w:b/>
                <w:bCs/>
                <w:color w:val="4F81BD" w:themeColor="accent1"/>
                <w:sz w:val="24"/>
                <w:szCs w:val="24"/>
                <w:rtl/>
                <w:lang w:bidi="ar-MA"/>
              </w:rPr>
              <w:t>:</w:t>
            </w:r>
            <w:r w:rsidRPr="00B27333"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 xml:space="preserve"> 37، شارع مولاي يوسف</w:t>
            </w:r>
            <w:r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>؛</w:t>
            </w:r>
            <w:r w:rsidRPr="00B27333">
              <w:rPr>
                <w:rFonts w:cs="Arabic Transparent" w:hint="cs"/>
                <w:sz w:val="24"/>
                <w:szCs w:val="24"/>
                <w:rtl/>
                <w:lang w:bidi="ar-MA"/>
              </w:rPr>
              <w:t xml:space="preserve"> الدار البيضاء</w:t>
            </w:r>
          </w:p>
        </w:tc>
      </w:tr>
      <w:tr w:rsidR="00500146" w:rsidRPr="002037B7" w14:paraId="622F0D5C" w14:textId="77777777" w:rsidTr="003F560A">
        <w:tc>
          <w:tcPr>
            <w:tcW w:w="5853" w:type="dxa"/>
          </w:tcPr>
          <w:p w14:paraId="7326741E" w14:textId="7767070C" w:rsidR="00500146" w:rsidRPr="002037B7" w:rsidRDefault="00500146" w:rsidP="003F560A">
            <w:pPr>
              <w:tabs>
                <w:tab w:val="left" w:pos="4678"/>
              </w:tabs>
            </w:pPr>
            <w:r w:rsidRPr="002037B7">
              <w:rPr>
                <w:b/>
                <w:bCs/>
                <w:color w:val="548DD4" w:themeColor="text2" w:themeTint="99"/>
              </w:rPr>
              <w:t>Décision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  <w:bookmarkStart w:id="0" w:name="_Hlk80526029"/>
            <w:r w:rsidR="00F80B75" w:rsidRPr="00C45ECB">
              <w:rPr>
                <w:rFonts w:cstheme="minorHAnsi"/>
                <w:color w:val="000000"/>
              </w:rPr>
              <w:t>P/EA/</w:t>
            </w:r>
            <w:r w:rsidR="00F80B75">
              <w:rPr>
                <w:rFonts w:cstheme="minorHAnsi" w:hint="cs"/>
                <w:color w:val="000000"/>
                <w:rtl/>
              </w:rPr>
              <w:t>9</w:t>
            </w:r>
            <w:r w:rsidR="00F80B75" w:rsidRPr="00C45ECB">
              <w:rPr>
                <w:rFonts w:cstheme="minorHAnsi"/>
                <w:color w:val="000000"/>
              </w:rPr>
              <w:t xml:space="preserve">.20 </w:t>
            </w:r>
            <w:bookmarkEnd w:id="0"/>
            <w:r w:rsidR="00F80B75" w:rsidRPr="00C45ECB">
              <w:rPr>
                <w:rFonts w:cstheme="minorHAnsi"/>
                <w:color w:val="000000"/>
              </w:rPr>
              <w:t>du 4 novembre 2020</w:t>
            </w:r>
          </w:p>
        </w:tc>
        <w:tc>
          <w:tcPr>
            <w:tcW w:w="5119" w:type="dxa"/>
            <w:vAlign w:val="center"/>
          </w:tcPr>
          <w:p w14:paraId="2541A3A1" w14:textId="07D29FAD" w:rsidR="00500146" w:rsidRPr="00B27333" w:rsidRDefault="00F80B75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صادر في 4 نوفمبر 2021 </w:t>
            </w:r>
            <w:r w:rsidRPr="00C45ECB">
              <w:rPr>
                <w:rFonts w:cstheme="minorHAnsi"/>
                <w:color w:val="000000"/>
              </w:rPr>
              <w:t>P/EA/</w:t>
            </w:r>
            <w:r>
              <w:rPr>
                <w:rFonts w:cstheme="minorHAnsi" w:hint="cs"/>
                <w:color w:val="000000"/>
                <w:rtl/>
              </w:rPr>
              <w:t>9</w:t>
            </w:r>
            <w:r w:rsidRPr="00C45ECB">
              <w:rPr>
                <w:rFonts w:cstheme="minorHAnsi"/>
                <w:color w:val="000000"/>
              </w:rPr>
              <w:t>.20</w:t>
            </w:r>
            <w:r w:rsidR="00500146" w:rsidRPr="00B27333">
              <w:rPr>
                <w:rFonts w:ascii="Calibri" w:hAnsi="Calibri"/>
                <w:b/>
                <w:bCs/>
                <w:color w:val="4F81BD" w:themeColor="accent1"/>
                <w:sz w:val="24"/>
                <w:szCs w:val="24"/>
              </w:rPr>
              <w:t>:</w:t>
            </w:r>
            <w:r w:rsidR="00500146" w:rsidRPr="00B273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قرار رقم</w:t>
            </w:r>
          </w:p>
        </w:tc>
      </w:tr>
      <w:tr w:rsidR="00500146" w:rsidRPr="002037B7" w14:paraId="06A0DCAF" w14:textId="77777777" w:rsidTr="003F560A">
        <w:tc>
          <w:tcPr>
            <w:tcW w:w="5853" w:type="dxa"/>
          </w:tcPr>
          <w:p w14:paraId="42207344" w14:textId="5B0A774D" w:rsidR="00500146" w:rsidRPr="002037B7" w:rsidRDefault="00500146" w:rsidP="003F560A">
            <w:pPr>
              <w:tabs>
                <w:tab w:val="left" w:pos="4678"/>
              </w:tabs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B.O. (en Français)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</w:p>
          <w:p w14:paraId="71F2C04E" w14:textId="77777777" w:rsidR="00500146" w:rsidRPr="002037B7" w:rsidRDefault="00500146" w:rsidP="003F560A">
            <w:pPr>
              <w:tabs>
                <w:tab w:val="left" w:pos="4678"/>
              </w:tabs>
            </w:pPr>
          </w:p>
        </w:tc>
        <w:tc>
          <w:tcPr>
            <w:tcW w:w="5119" w:type="dxa"/>
            <w:vAlign w:val="center"/>
          </w:tcPr>
          <w:p w14:paraId="08C870EB" w14:textId="77777777" w:rsidR="00500146" w:rsidRPr="00B27333" w:rsidRDefault="00500146" w:rsidP="003F560A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B273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B273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B273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B273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B273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بالفرنسية</w:t>
            </w:r>
            <w:r w:rsidRPr="00B273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B273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  <w:r w:rsidRPr="00B273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</w:p>
          <w:p w14:paraId="0CA08F29" w14:textId="3B8FA482" w:rsidR="00500146" w:rsidRPr="00B27333" w:rsidRDefault="00500146" w:rsidP="003F560A">
            <w:pPr>
              <w:bidi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500146" w:rsidRPr="002037B7" w14:paraId="436A5F57" w14:textId="77777777" w:rsidTr="003F560A">
        <w:tc>
          <w:tcPr>
            <w:tcW w:w="5853" w:type="dxa"/>
          </w:tcPr>
          <w:p w14:paraId="58A3EA35" w14:textId="5B713D92" w:rsidR="00500146" w:rsidRPr="002037B7" w:rsidRDefault="00500146" w:rsidP="00F80B75">
            <w:pPr>
              <w:tabs>
                <w:tab w:val="left" w:pos="4678"/>
              </w:tabs>
            </w:pPr>
            <w:r w:rsidRPr="002037B7">
              <w:rPr>
                <w:b/>
                <w:bCs/>
                <w:color w:val="548DD4" w:themeColor="text2" w:themeTint="99"/>
              </w:rPr>
              <w:t>B.O. (en Arabe)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  <w:r w:rsidR="00F80B75" w:rsidRPr="00C45ECB">
              <w:rPr>
                <w:rFonts w:cstheme="minorHAnsi"/>
                <w:color w:val="000000"/>
              </w:rPr>
              <w:t xml:space="preserve">6988-8 </w:t>
            </w:r>
            <w:proofErr w:type="spellStart"/>
            <w:r w:rsidR="00F80B75" w:rsidRPr="00C45ECB">
              <w:rPr>
                <w:rFonts w:cstheme="minorHAnsi"/>
                <w:color w:val="000000"/>
              </w:rPr>
              <w:t>chaoual</w:t>
            </w:r>
            <w:proofErr w:type="spellEnd"/>
            <w:r w:rsidR="00F80B75" w:rsidRPr="00C45ECB">
              <w:rPr>
                <w:rFonts w:cstheme="minorHAnsi"/>
                <w:color w:val="000000"/>
              </w:rPr>
              <w:t xml:space="preserve"> 1442 (20 mai 2021</w:t>
            </w:r>
            <w:r w:rsidR="00E87E93">
              <w:rPr>
                <w:rFonts w:cstheme="minorHAnsi"/>
                <w:color w:val="000000"/>
              </w:rPr>
              <w:t>)</w:t>
            </w:r>
          </w:p>
        </w:tc>
        <w:tc>
          <w:tcPr>
            <w:tcW w:w="5119" w:type="dxa"/>
            <w:vAlign w:val="center"/>
          </w:tcPr>
          <w:p w14:paraId="235CCB4C" w14:textId="77777777" w:rsidR="00500146" w:rsidRPr="00B27333" w:rsidRDefault="00500146" w:rsidP="003F560A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B273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B273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B273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B273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B273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بالعربية</w:t>
            </w:r>
            <w:r w:rsidRPr="00B2733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B2733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</w:p>
          <w:p w14:paraId="39EFE67F" w14:textId="74E61FBD" w:rsidR="00500146" w:rsidRPr="00B27333" w:rsidRDefault="00F80B75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45ECB">
              <w:rPr>
                <w:rFonts w:cstheme="minorHAnsi"/>
                <w:color w:val="000000"/>
                <w:rtl/>
              </w:rPr>
              <w:t>)</w:t>
            </w:r>
            <w:r w:rsidRPr="00C45ECB">
              <w:rPr>
                <w:rFonts w:cstheme="minorHAnsi"/>
              </w:rPr>
              <w:t xml:space="preserve"> 2021 </w:t>
            </w:r>
            <w:r w:rsidRPr="00C45ECB">
              <w:rPr>
                <w:rFonts w:cstheme="minorHAnsi"/>
                <w:rtl/>
              </w:rPr>
              <w:t>ماي</w:t>
            </w:r>
            <w:r w:rsidRPr="00C45ECB">
              <w:rPr>
                <w:rFonts w:cstheme="minorHAnsi"/>
              </w:rPr>
              <w:t xml:space="preserve"> 20) </w:t>
            </w:r>
            <w:proofErr w:type="gramStart"/>
            <w:r w:rsidRPr="00C45ECB">
              <w:rPr>
                <w:rFonts w:cstheme="minorHAnsi"/>
              </w:rPr>
              <w:t xml:space="preserve">1442 </w:t>
            </w:r>
            <w:r w:rsidRPr="00C45ECB">
              <w:rPr>
                <w:rFonts w:cstheme="minorHAnsi"/>
                <w:rtl/>
              </w:rPr>
              <w:t xml:space="preserve"> شوال</w:t>
            </w:r>
            <w:proofErr w:type="gramEnd"/>
            <w:r w:rsidRPr="00C45ECB">
              <w:rPr>
                <w:rFonts w:cstheme="minorHAnsi"/>
                <w:color w:val="000000"/>
              </w:rPr>
              <w:t>8-</w:t>
            </w:r>
            <w:r w:rsidRPr="00C45ECB">
              <w:rPr>
                <w:rFonts w:cstheme="minorHAnsi"/>
                <w:color w:val="000000"/>
                <w:rtl/>
              </w:rPr>
              <w:t>6988</w:t>
            </w:r>
          </w:p>
        </w:tc>
      </w:tr>
    </w:tbl>
    <w:p w14:paraId="62D87833" w14:textId="77777777" w:rsidR="00500146" w:rsidRPr="002037B7" w:rsidRDefault="00500146" w:rsidP="00500146"/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500146" w:rsidRPr="002037B7" w14:paraId="6519553D" w14:textId="77777777" w:rsidTr="003F560A">
        <w:trPr>
          <w:trHeight w:val="555"/>
        </w:trPr>
        <w:tc>
          <w:tcPr>
            <w:tcW w:w="5812" w:type="dxa"/>
            <w:shd w:val="clear" w:color="auto" w:fill="548DD4" w:themeFill="text2" w:themeFillTint="99"/>
            <w:noWrap/>
            <w:hideMark/>
          </w:tcPr>
          <w:p w14:paraId="25883670" w14:textId="77777777" w:rsidR="00500146" w:rsidRPr="00500146" w:rsidRDefault="00500146" w:rsidP="003F560A">
            <w:pPr>
              <w:rPr>
                <w:b/>
                <w:bCs/>
                <w:color w:val="FFFFFF" w:themeColor="background1"/>
              </w:rPr>
            </w:pPr>
          </w:p>
          <w:p w14:paraId="759D2E77" w14:textId="77777777" w:rsidR="00500146" w:rsidRPr="00500146" w:rsidRDefault="00500146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500146">
              <w:rPr>
                <w:b/>
                <w:bCs/>
                <w:color w:val="FFFFFF" w:themeColor="background1"/>
              </w:rPr>
              <w:t>Catégories d’opérations d'assurances pour lesquelles l'EAR est agréée</w:t>
            </w:r>
          </w:p>
        </w:tc>
        <w:tc>
          <w:tcPr>
            <w:tcW w:w="5103" w:type="dxa"/>
            <w:shd w:val="clear" w:color="auto" w:fill="548DD4" w:themeFill="text2" w:themeFillTint="99"/>
            <w:noWrap/>
          </w:tcPr>
          <w:p w14:paraId="2A0C8BE2" w14:textId="77777777" w:rsidR="00500146" w:rsidRPr="00500146" w:rsidRDefault="00500146" w:rsidP="003F560A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3E5F324C" w14:textId="77777777" w:rsidR="00500146" w:rsidRPr="00500146" w:rsidRDefault="00500146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500146">
              <w:rPr>
                <w:rFonts w:cs="Arial" w:hint="cs"/>
                <w:b/>
                <w:bCs/>
                <w:color w:val="FFFFFF" w:themeColor="background1"/>
                <w:rtl/>
              </w:rPr>
              <w:t>أصناف</w:t>
            </w:r>
            <w:r w:rsidRPr="00500146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500146">
              <w:rPr>
                <w:rFonts w:cs="Arial" w:hint="cs"/>
                <w:b/>
                <w:bCs/>
                <w:color w:val="FFFFFF" w:themeColor="background1"/>
                <w:rtl/>
              </w:rPr>
              <w:t>عمليات</w:t>
            </w:r>
            <w:r w:rsidRPr="00500146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500146">
              <w:rPr>
                <w:rFonts w:cs="Arial" w:hint="cs"/>
                <w:b/>
                <w:bCs/>
                <w:color w:val="FFFFFF" w:themeColor="background1"/>
                <w:rtl/>
              </w:rPr>
              <w:t>التأمين التي اعتمدت من أجلها مقاولة التأمين وإعادة التأمين</w:t>
            </w:r>
          </w:p>
        </w:tc>
      </w:tr>
      <w:tr w:rsidR="00500146" w:rsidRPr="002037B7" w14:paraId="3394E0F9" w14:textId="77777777" w:rsidTr="003F560A">
        <w:trPr>
          <w:trHeight w:val="4468"/>
        </w:trPr>
        <w:tc>
          <w:tcPr>
            <w:tcW w:w="5812" w:type="dxa"/>
            <w:hideMark/>
          </w:tcPr>
          <w:p w14:paraId="17E7F7E1" w14:textId="775C4E58" w:rsidR="00500146" w:rsidRPr="002037B7" w:rsidRDefault="00500146" w:rsidP="003F560A">
            <w:r w:rsidRPr="002037B7">
              <w:br/>
              <w:t xml:space="preserve">1°) Vie et </w:t>
            </w:r>
            <w:r w:rsidR="00F604EF" w:rsidRPr="002037B7">
              <w:t>décès :</w:t>
            </w:r>
            <w:r w:rsidRPr="002037B7">
              <w:t xml:space="preserve"> toute opération d'assurances comportant des engagements dont l'exécution dépend de la durée de la vie </w:t>
            </w:r>
            <w:r w:rsidR="00F604EF" w:rsidRPr="002037B7">
              <w:t>humaine ;</w:t>
            </w:r>
            <w:r w:rsidRPr="002037B7">
              <w:t xml:space="preserve">  </w:t>
            </w:r>
          </w:p>
          <w:p w14:paraId="391D29BD" w14:textId="5C9E8BD7" w:rsidR="00500146" w:rsidRPr="002037B7" w:rsidRDefault="00500146" w:rsidP="003F560A">
            <w:r w:rsidRPr="002037B7">
              <w:t>3</w:t>
            </w:r>
            <w:r w:rsidR="00F604EF" w:rsidRPr="002037B7">
              <w:t>°) Capitalisation :</w:t>
            </w:r>
            <w:r w:rsidRPr="002037B7">
              <w:t xml:space="preserve"> toute opération d'appel à l'épargne en vue de la capitalisation et comportant, en échange de versements uniques ou périodiques directs ou indirects, des engagements </w:t>
            </w:r>
            <w:r w:rsidR="00F604EF" w:rsidRPr="002037B7">
              <w:t>déterminés ;</w:t>
            </w:r>
          </w:p>
          <w:p w14:paraId="2ED6F793" w14:textId="1FFEBE39" w:rsidR="00500146" w:rsidRPr="002037B7" w:rsidRDefault="00500146" w:rsidP="003F560A">
            <w:r w:rsidRPr="002037B7">
              <w:t xml:space="preserve">5°) Assurances liées à des fonds d'investissement : toutes opérations comportant des engagements dont l'exécution dépend de la durée de la vie humaine ou faisant appel à l'épargne et liées à un ou plusieurs fonds </w:t>
            </w:r>
            <w:r w:rsidR="00F604EF" w:rsidRPr="002037B7">
              <w:t>d’investissement ;</w:t>
            </w:r>
          </w:p>
          <w:p w14:paraId="07E499EC" w14:textId="619E183D" w:rsidR="00500146" w:rsidRPr="002037B7" w:rsidRDefault="00500146" w:rsidP="003F560A">
            <w:r w:rsidRPr="002037B7">
              <w:t xml:space="preserve">7°) Opérations d'assurances contre les risques d'accidents </w:t>
            </w:r>
            <w:r w:rsidR="00F604EF" w:rsidRPr="002037B7">
              <w:t>corporels ;</w:t>
            </w:r>
          </w:p>
          <w:p w14:paraId="67F1AC34" w14:textId="33346258" w:rsidR="00500146" w:rsidRPr="002037B7" w:rsidRDefault="00500146" w:rsidP="003F560A">
            <w:r w:rsidRPr="002037B7">
              <w:t xml:space="preserve">8°) Maladie- </w:t>
            </w:r>
            <w:r w:rsidR="00F604EF" w:rsidRPr="002037B7">
              <w:t>maternité ;</w:t>
            </w:r>
          </w:p>
          <w:p w14:paraId="3D682CF2" w14:textId="77777777" w:rsidR="00500146" w:rsidRPr="002037B7" w:rsidRDefault="00500146" w:rsidP="003F560A">
            <w:r w:rsidRPr="002037B7">
              <w:t>29°) Opérations de réassurance pour les catégories d'opérations d'assurances pour lesquelles elle est agréée.</w:t>
            </w:r>
          </w:p>
          <w:p w14:paraId="60910286" w14:textId="77777777" w:rsidR="00500146" w:rsidRPr="002037B7" w:rsidRDefault="00500146" w:rsidP="003F560A"/>
        </w:tc>
        <w:tc>
          <w:tcPr>
            <w:tcW w:w="5103" w:type="dxa"/>
          </w:tcPr>
          <w:p w14:paraId="361ABAE1" w14:textId="77777777" w:rsidR="00500146" w:rsidRPr="002037B7" w:rsidRDefault="00500146" w:rsidP="003F560A">
            <w:pPr>
              <w:jc w:val="right"/>
            </w:pPr>
          </w:p>
          <w:p w14:paraId="3A80084E" w14:textId="77777777" w:rsidR="00500146" w:rsidRPr="002037B7" w:rsidRDefault="00500146" w:rsidP="003F560A">
            <w:pPr>
              <w:bidi/>
              <w:jc w:val="both"/>
              <w:rPr>
                <w:rtl/>
                <w:lang w:bidi="ar-MA"/>
              </w:rPr>
            </w:pPr>
            <w:r w:rsidRPr="002037B7">
              <w:rPr>
                <w:rFonts w:hint="cs"/>
                <w:rtl/>
                <w:lang w:bidi="ar-MA"/>
              </w:rPr>
              <w:t>1- الحياة والوفاة: كل عملية تأمين تتضمن التزامات يتوقف تنفيذها على مدة حياة الإنسان؛</w:t>
            </w:r>
          </w:p>
          <w:p w14:paraId="5CCB6583" w14:textId="72845700" w:rsidR="00500146" w:rsidRPr="002037B7" w:rsidRDefault="00500146" w:rsidP="003F560A">
            <w:pPr>
              <w:bidi/>
              <w:jc w:val="both"/>
              <w:rPr>
                <w:lang w:val="en-US"/>
              </w:rPr>
            </w:pPr>
            <w:r w:rsidRPr="002037B7">
              <w:rPr>
                <w:rFonts w:hint="cs"/>
                <w:rtl/>
                <w:lang w:bidi="ar-MA"/>
              </w:rPr>
              <w:t xml:space="preserve">3- الرسملة: كل عملية تدعو للادخار من أجل الرسملة وتتضمن التزامات محددة مقابل </w:t>
            </w:r>
            <w:r w:rsidRPr="00330437">
              <w:rPr>
                <w:rtl/>
                <w:lang w:bidi="ar-MA"/>
              </w:rPr>
              <w:t>أداء وح</w:t>
            </w:r>
            <w:r w:rsidR="00DB24DD" w:rsidRPr="00330437">
              <w:rPr>
                <w:rFonts w:hint="cs"/>
                <w:rtl/>
                <w:lang w:bidi="ar-MA"/>
              </w:rPr>
              <w:t>ي</w:t>
            </w:r>
            <w:r w:rsidRPr="00330437">
              <w:rPr>
                <w:rtl/>
                <w:lang w:bidi="ar-MA"/>
              </w:rPr>
              <w:t>د</w:t>
            </w:r>
            <w:r w:rsidRPr="002037B7">
              <w:rPr>
                <w:rtl/>
                <w:lang w:bidi="ar-MA"/>
              </w:rPr>
              <w:t xml:space="preserve"> أو أداءات دورية</w:t>
            </w:r>
            <w:r w:rsidRPr="002037B7">
              <w:rPr>
                <w:rFonts w:hint="cs"/>
                <w:rtl/>
                <w:lang w:bidi="ar-MA"/>
              </w:rPr>
              <w:t xml:space="preserve"> مباشرة أو غير مباشرة؛</w:t>
            </w:r>
          </w:p>
          <w:p w14:paraId="02022FE1" w14:textId="77777777" w:rsidR="00500146" w:rsidRPr="002037B7" w:rsidRDefault="00500146" w:rsidP="003F560A">
            <w:pPr>
              <w:bidi/>
              <w:jc w:val="both"/>
              <w:rPr>
                <w:rtl/>
                <w:lang w:bidi="ar-MA"/>
              </w:rPr>
            </w:pPr>
            <w:r w:rsidRPr="002037B7">
              <w:rPr>
                <w:rFonts w:hint="cs"/>
                <w:rtl/>
                <w:lang w:bidi="ar-MA"/>
              </w:rPr>
              <w:t>5- تأمينات مرتبطة بصناديق الاستثمار: كل عملية تتضمن التزامات يتوقف تنفيذها على مدة حياة الإنسان أو تدعو إلى الادخار ومرتبطة بصندوق أو عدة صناديق استثمار؛</w:t>
            </w:r>
          </w:p>
          <w:p w14:paraId="28F383AF" w14:textId="77777777" w:rsidR="00500146" w:rsidRPr="002037B7" w:rsidRDefault="00500146" w:rsidP="003F560A">
            <w:pPr>
              <w:bidi/>
              <w:jc w:val="both"/>
              <w:rPr>
                <w:lang w:val="en-US"/>
              </w:rPr>
            </w:pPr>
            <w:r w:rsidRPr="002037B7">
              <w:rPr>
                <w:rFonts w:hint="cs"/>
                <w:rtl/>
                <w:lang w:bidi="ar-MA"/>
              </w:rPr>
              <w:t>7- عمليات التأمين ضد أخطار الحوادث الجسمانية؛</w:t>
            </w:r>
          </w:p>
          <w:p w14:paraId="210FAC37" w14:textId="77777777" w:rsidR="00500146" w:rsidRPr="002037B7" w:rsidRDefault="00500146" w:rsidP="003F560A">
            <w:pPr>
              <w:bidi/>
              <w:jc w:val="both"/>
              <w:rPr>
                <w:lang w:val="en-US"/>
              </w:rPr>
            </w:pPr>
            <w:r w:rsidRPr="002037B7">
              <w:rPr>
                <w:rFonts w:hint="cs"/>
                <w:rtl/>
                <w:lang w:bidi="ar-MA"/>
              </w:rPr>
              <w:t>8- المرض والأمومة؛</w:t>
            </w:r>
          </w:p>
          <w:p w14:paraId="714E8A13" w14:textId="1C3E65BB" w:rsidR="00500146" w:rsidRPr="002037B7" w:rsidRDefault="00500146" w:rsidP="003F560A">
            <w:pPr>
              <w:bidi/>
              <w:jc w:val="both"/>
              <w:rPr>
                <w:rtl/>
                <w:lang w:bidi="ar-MA"/>
              </w:rPr>
            </w:pPr>
            <w:r w:rsidRPr="002037B7">
              <w:rPr>
                <w:rFonts w:hint="cs"/>
                <w:rtl/>
                <w:lang w:bidi="ar-MA"/>
              </w:rPr>
              <w:t xml:space="preserve">29- عمليات إعادة التأمين </w:t>
            </w:r>
            <w:r w:rsidRPr="00330437">
              <w:rPr>
                <w:rFonts w:hint="cs"/>
                <w:rtl/>
                <w:lang w:bidi="ar-MA"/>
              </w:rPr>
              <w:t>بالنسبة</w:t>
            </w:r>
            <w:r w:rsidR="00DB24DD" w:rsidRPr="00330437">
              <w:rPr>
                <w:rFonts w:hint="cs"/>
                <w:rtl/>
                <w:lang w:bidi="ar-MA"/>
              </w:rPr>
              <w:t xml:space="preserve"> ل</w:t>
            </w:r>
            <w:r w:rsidRPr="00330437">
              <w:rPr>
                <w:rFonts w:hint="cs"/>
                <w:rtl/>
                <w:lang w:bidi="ar-MA"/>
              </w:rPr>
              <w:t>عمليات</w:t>
            </w:r>
            <w:r w:rsidRPr="002037B7">
              <w:rPr>
                <w:rFonts w:hint="cs"/>
                <w:rtl/>
                <w:lang w:bidi="ar-MA"/>
              </w:rPr>
              <w:t xml:space="preserve"> التأمين التي اعتمدت </w:t>
            </w:r>
            <w:r w:rsidRPr="002037B7">
              <w:rPr>
                <w:rtl/>
                <w:lang w:bidi="ar-MA"/>
              </w:rPr>
              <w:t>لأجلها</w:t>
            </w:r>
            <w:r w:rsidRPr="002037B7">
              <w:rPr>
                <w:rFonts w:hint="cs"/>
                <w:rtl/>
                <w:lang w:bidi="ar-MA"/>
              </w:rPr>
              <w:t>.</w:t>
            </w:r>
          </w:p>
          <w:p w14:paraId="6D1401C5" w14:textId="77777777" w:rsidR="00500146" w:rsidRPr="002037B7" w:rsidRDefault="00500146" w:rsidP="003F560A">
            <w:pPr>
              <w:jc w:val="right"/>
              <w:rPr>
                <w:lang w:bidi="ar-MA"/>
              </w:rPr>
            </w:pPr>
          </w:p>
        </w:tc>
      </w:tr>
    </w:tbl>
    <w:p w14:paraId="7187746A" w14:textId="77777777" w:rsidR="00500146" w:rsidRPr="002037B7" w:rsidRDefault="00500146" w:rsidP="00500146"/>
    <w:p w14:paraId="7489FD0B" w14:textId="77777777" w:rsidR="00500146" w:rsidRPr="002037B7" w:rsidRDefault="00500146" w:rsidP="00500146"/>
    <w:p w14:paraId="6CBD769F" w14:textId="77777777" w:rsidR="00500146" w:rsidRDefault="00500146"/>
    <w:sectPr w:rsidR="0050014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A7FD" w14:textId="77777777" w:rsidR="008B4E3F" w:rsidRDefault="008B4E3F" w:rsidP="00500146">
      <w:pPr>
        <w:spacing w:after="0" w:line="240" w:lineRule="auto"/>
      </w:pPr>
      <w:r>
        <w:separator/>
      </w:r>
    </w:p>
  </w:endnote>
  <w:endnote w:type="continuationSeparator" w:id="0">
    <w:p w14:paraId="1D517592" w14:textId="77777777" w:rsidR="008B4E3F" w:rsidRDefault="008B4E3F" w:rsidP="0050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4B83" w14:textId="77777777" w:rsidR="008B4E3F" w:rsidRDefault="008B4E3F" w:rsidP="00500146">
      <w:pPr>
        <w:spacing w:after="0" w:line="240" w:lineRule="auto"/>
      </w:pPr>
      <w:r>
        <w:separator/>
      </w:r>
    </w:p>
  </w:footnote>
  <w:footnote w:type="continuationSeparator" w:id="0">
    <w:p w14:paraId="477C6332" w14:textId="77777777" w:rsidR="008B4E3F" w:rsidRDefault="008B4E3F" w:rsidP="0050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DF1B" w14:textId="77777777" w:rsidR="00500146" w:rsidRDefault="00500146" w:rsidP="00500146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5D20249E" wp14:editId="35299F5C">
          <wp:extent cx="2596896" cy="677030"/>
          <wp:effectExtent l="0" t="0" r="0" b="8890"/>
          <wp:docPr id="1" name="Image 1" descr="C:\Users\yassmina.benchakroun\Desktop\Yassmina 2017 Pro\Charte graphique\charte graphique\logo\logo ACAPS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smina.benchakroun\Desktop\Yassmina 2017 Pro\Charte graphique\charte graphique\logo\logo ACAPS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50" cy="67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46"/>
    <w:rsid w:val="002A3ED9"/>
    <w:rsid w:val="00330437"/>
    <w:rsid w:val="00500146"/>
    <w:rsid w:val="007810DC"/>
    <w:rsid w:val="00803578"/>
    <w:rsid w:val="008B4E3F"/>
    <w:rsid w:val="00CC23FF"/>
    <w:rsid w:val="00D44720"/>
    <w:rsid w:val="00DB24DD"/>
    <w:rsid w:val="00E6593B"/>
    <w:rsid w:val="00E87E93"/>
    <w:rsid w:val="00F604EF"/>
    <w:rsid w:val="00F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38C0"/>
  <w15:docId w15:val="{34ADA9F5-D708-4279-9A7B-239F81B1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146"/>
  </w:style>
  <w:style w:type="paragraph" w:styleId="Pieddepage">
    <w:name w:val="footer"/>
    <w:basedOn w:val="Normal"/>
    <w:link w:val="PieddepageCar"/>
    <w:uiPriority w:val="99"/>
    <w:unhideWhenUsed/>
    <w:rsid w:val="00500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146"/>
  </w:style>
  <w:style w:type="paragraph" w:styleId="Textedebulles">
    <w:name w:val="Balloon Text"/>
    <w:basedOn w:val="Normal"/>
    <w:link w:val="TextedebullesCar"/>
    <w:uiPriority w:val="99"/>
    <w:semiHidden/>
    <w:unhideWhenUsed/>
    <w:rsid w:val="0050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1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1523</Characters>
  <Application>Microsoft Office Word</Application>
  <DocSecurity>0</DocSecurity>
  <Lines>12</Lines>
  <Paragraphs>3</Paragraphs>
  <ScaleCrop>false</ScaleCrop>
  <Company>daps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Yassmina BENCHAKROUN</dc:creator>
  <cp:lastModifiedBy>Souad ELJENNOUNI</cp:lastModifiedBy>
  <cp:revision>7</cp:revision>
  <dcterms:created xsi:type="dcterms:W3CDTF">2021-10-22T20:13:00Z</dcterms:created>
  <dcterms:modified xsi:type="dcterms:W3CDTF">2022-03-19T17:48:00Z</dcterms:modified>
</cp:coreProperties>
</file>